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bCs/>
          <w:sz w:val="32"/>
          <w:szCs w:val="32"/>
        </w:rPr>
        <w:t>团体标准《人工智能算力网络 第1部分：总体要求》（征求意见稿）编制说明</w:t>
      </w:r>
    </w:p>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工作简况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2023年1月，根据中关村视听产业技术创新联盟2023年标准制修订计划的安排（AITISA【2</w:t>
      </w:r>
      <w:r>
        <w:rPr>
          <w:rFonts w:ascii="宋体" w:hAnsi="宋体" w:eastAsia="宋体" w:cs="宋体"/>
          <w:sz w:val="24"/>
        </w:rPr>
        <w:t>02</w:t>
      </w:r>
      <w:r>
        <w:rPr>
          <w:rFonts w:hint="eastAsia" w:ascii="宋体" w:hAnsi="宋体" w:eastAsia="宋体" w:cs="宋体"/>
          <w:sz w:val="24"/>
        </w:rPr>
        <w:t>3】1号文），下达了由鹏城实验室牵头制定团体标准《人工智能算力网络 第1部分：总体要求》（标准计划号：2023011202）的制定任务。</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工作组自2021年12月第17次会议开始，讨论启动人工智能算力网络总体标准制定工作，通过了《人工智能算力网络总体技术规范需求》提案，并输出需求文档。2022年3月AI标准工作组第18次会议通过提案征集书，输出《人工智能算力网络总体技术规范 提案征集书》，会上经过讨论修改，通过了《人工智能算力网络总体技术规范》草案提案，并输出《人工智能算力网络总体技术规范 WD v0.1》。2022年6月第19次会议，工作组提出了《人工智能算力网络》系列标准规划及工作安排，《人工智能算力网络总体技术规范》正式更名为《人工智能算力网络 第1部分：总体要求》，经过修改后输出《人工智能算力网络 第1部分：总体要求 WD v0.2》；工作组于2022年6月至2022年12月，经历2次会议（2022年8月24日第20次会议，2022年12月14日第21次会议），经讨论修改更新了两份《人工智能算力网络 第1部分：总体要求》提案。</w:t>
      </w:r>
    </w:p>
    <w:p>
      <w:pPr>
        <w:spacing w:line="360" w:lineRule="auto"/>
        <w:ind w:firstLine="480" w:firstLineChars="200"/>
        <w:rPr>
          <w:rFonts w:ascii="宋体" w:hAnsi="宋体" w:eastAsia="宋体" w:cs="宋体"/>
          <w:sz w:val="24"/>
        </w:rPr>
      </w:pPr>
      <w:r>
        <w:rPr>
          <w:rFonts w:hint="eastAsia" w:ascii="宋体" w:hAnsi="宋体" w:eastAsia="宋体" w:cs="宋体"/>
          <w:sz w:val="24"/>
        </w:rPr>
        <w:t>2023年3月，经第22次会议讨论批准，同意团体标准《人工智能算力网络 第1部分：总体要求》进入征求意见阶段，更新WD版本为0.5，输出征求意见稿。</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本项目的主要起草单位包括鹏城实验室，华为技术有限公司，国防科技大学，北京大学，北京交通大学，北京百度网讯科技有限公司。</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本项目主要起草人：余跃、张叶红、王晖、徐春香、张艳、张嘉琪、赵海英、聂永丰、张鹏、孔凡斌、郑容健、张晓东、曾炜、董平、张宇阳、田晓利、杨建坤、高文。</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标准编制原则和确定主要内容的论据及解决的主要问题</w:t>
      </w:r>
    </w:p>
    <w:p>
      <w:pPr>
        <w:pStyle w:val="15"/>
        <w:numPr>
          <w:ilvl w:val="0"/>
          <w:numId w:val="2"/>
        </w:numPr>
        <w:spacing w:line="360" w:lineRule="auto"/>
        <w:ind w:firstLine="420" w:firstLineChars="0"/>
        <w:rPr>
          <w:rFonts w:ascii="宋体" w:hAnsi="宋体" w:eastAsia="宋体" w:cs="宋体"/>
          <w:b/>
          <w:sz w:val="24"/>
        </w:rPr>
      </w:pPr>
      <w:r>
        <w:rPr>
          <w:rFonts w:hint="eastAsia" w:ascii="宋体" w:hAnsi="宋体" w:eastAsia="宋体" w:cs="宋体"/>
          <w:b/>
          <w:sz w:val="24"/>
        </w:rPr>
        <w:t>标准编制原则</w:t>
      </w:r>
    </w:p>
    <w:p>
      <w:pPr>
        <w:pStyle w:val="15"/>
        <w:spacing w:line="360" w:lineRule="auto"/>
        <w:ind w:firstLine="480" w:firstLineChars="200"/>
        <w:rPr>
          <w:rFonts w:ascii="宋体" w:hAnsi="宋体" w:eastAsia="宋体" w:cs="宋体"/>
          <w:sz w:val="24"/>
        </w:rPr>
      </w:pPr>
      <w:r>
        <w:rPr>
          <w:rFonts w:hint="eastAsia" w:ascii="宋体" w:hAnsi="宋体" w:eastAsia="宋体" w:cs="宋体"/>
          <w:sz w:val="24"/>
        </w:rPr>
        <w:t>《人工智能算力网络 第1部分：总体要求》需适用于人工智能算力网络的总体设计和建设，</w:t>
      </w:r>
      <w:r>
        <w:rPr>
          <w:rFonts w:hint="eastAsia" w:hAnsi="宋体"/>
          <w:color w:val="000000"/>
          <w:sz w:val="24"/>
        </w:rPr>
        <w:t>符合各行业人工智能应用对算力互联互通的需求趋势，体现人工智能算力网络的发展水平和方向，规定的技术要求结合产学研众多单位的意见，技术要求清晰、易操作、可实现。</w:t>
      </w:r>
      <w:r>
        <w:rPr>
          <w:rFonts w:hint="eastAsia" w:ascii="宋体" w:hAnsi="宋体" w:eastAsia="宋体" w:cs="宋体"/>
          <w:sz w:val="24"/>
        </w:rPr>
        <w:t>本</w:t>
      </w:r>
      <w:r>
        <w:rPr>
          <w:rFonts w:hint="eastAsia" w:hAnsi="宋体"/>
          <w:color w:val="000000"/>
          <w:sz w:val="24"/>
        </w:rPr>
        <w:t>部分的内容作为后续</w:t>
      </w:r>
      <w:r>
        <w:rPr>
          <w:rFonts w:hint="eastAsia" w:ascii="宋体" w:hAnsi="宋体" w:eastAsia="宋体" w:cs="宋体"/>
          <w:sz w:val="24"/>
        </w:rPr>
        <w:t>人工智能算力网络</w:t>
      </w:r>
      <w:r>
        <w:rPr>
          <w:rFonts w:hint="eastAsia" w:hAnsi="宋体"/>
          <w:color w:val="000000"/>
          <w:sz w:val="24"/>
        </w:rPr>
        <w:t>各项技术、接口标准的先导，既可独立使用，也为后续标准的规划与研制提供依据。</w:t>
      </w:r>
    </w:p>
    <w:p>
      <w:pPr>
        <w:spacing w:line="360" w:lineRule="auto"/>
        <w:ind w:firstLine="0" w:firstLineChars="0"/>
        <w:rPr>
          <w:rFonts w:ascii="宋体" w:hAnsi="宋体" w:eastAsia="宋体" w:cs="宋体"/>
          <w:b/>
          <w:sz w:val="24"/>
        </w:rPr>
      </w:pPr>
      <w:r>
        <w:rPr>
          <w:rFonts w:ascii="宋体" w:hAnsi="宋体" w:eastAsia="宋体" w:cs="宋体"/>
          <w:b/>
          <w:sz w:val="24"/>
        </w:rPr>
        <w:t xml:space="preserve">2. </w:t>
      </w:r>
      <w:r>
        <w:rPr>
          <w:rFonts w:hint="eastAsia" w:ascii="宋体" w:hAnsi="宋体" w:eastAsia="宋体" w:cs="宋体"/>
          <w:b/>
          <w:sz w:val="24"/>
        </w:rPr>
        <w:t>标准主要内容</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本标准规定了人工智能算力网络 （简称“智算网络”）的术语、系统架构、功能要求、各功能模块间的接口要求，适用于人工智能算力网络的总体设计和建设，为人工智能算力网络的开发、建设、测试提供规范化指引和依据,也为人工智能算力网络系列标准规划提出参考化建议。</w:t>
      </w:r>
    </w:p>
    <w:p>
      <w:pPr>
        <w:spacing w:line="360" w:lineRule="auto"/>
        <w:ind w:firstLine="480" w:firstLineChars="200"/>
        <w:rPr>
          <w:rFonts w:hAnsi="宋体"/>
          <w:color w:val="000000"/>
          <w:sz w:val="24"/>
        </w:rPr>
      </w:pPr>
      <w:r>
        <w:rPr>
          <w:rFonts w:hint="eastAsia" w:ascii="宋体" w:hAnsi="宋体" w:eastAsia="宋体" w:cs="宋体"/>
          <w:sz w:val="24"/>
        </w:rPr>
        <w:t>本标准分为7个章节，</w:t>
      </w:r>
      <w:r>
        <w:rPr>
          <w:rFonts w:hint="eastAsia" w:ascii="宋体" w:hAnsi="宋体" w:eastAsia="宋体" w:cs="宋体"/>
          <w:color w:val="000000"/>
          <w:sz w:val="24"/>
        </w:rPr>
        <w:t>第</w:t>
      </w:r>
      <w:r>
        <w:rPr>
          <w:rFonts w:ascii="宋体" w:hAnsi="宋体" w:eastAsia="宋体" w:cs="宋体"/>
          <w:color w:val="000000"/>
          <w:sz w:val="24"/>
        </w:rPr>
        <w:t></w:t>
      </w:r>
      <w:r>
        <w:rPr>
          <w:rFonts w:hint="eastAsia" w:ascii="宋体" w:hAnsi="宋体" w:eastAsia="宋体" w:cs="宋体"/>
          <w:color w:val="000000"/>
          <w:sz w:val="24"/>
        </w:rPr>
        <w:t>章“范围”；第</w:t>
      </w:r>
      <w:r>
        <w:rPr>
          <w:rFonts w:ascii="宋体" w:hAnsi="宋体" w:eastAsia="宋体" w:cs="宋体"/>
          <w:color w:val="000000"/>
          <w:sz w:val="24"/>
        </w:rPr>
        <w:t></w:t>
      </w:r>
      <w:r>
        <w:rPr>
          <w:rFonts w:hint="eastAsia" w:ascii="宋体" w:hAnsi="宋体" w:eastAsia="宋体" w:cs="宋体"/>
          <w:color w:val="000000"/>
          <w:sz w:val="24"/>
        </w:rPr>
        <w:t>章“规范性引用文件”；第</w:t>
      </w:r>
      <w:r>
        <w:rPr>
          <w:rFonts w:ascii="宋体" w:hAnsi="宋体" w:eastAsia="宋体" w:cs="宋体"/>
          <w:color w:val="000000"/>
          <w:sz w:val="24"/>
        </w:rPr>
        <w:t></w:t>
      </w:r>
      <w:r>
        <w:rPr>
          <w:rFonts w:hint="eastAsia" w:ascii="宋体" w:hAnsi="宋体" w:eastAsia="宋体" w:cs="宋体"/>
          <w:sz w:val="24"/>
        </w:rPr>
        <w:t>章“术语</w:t>
      </w:r>
      <w:r>
        <w:rPr>
          <w:rFonts w:hint="eastAsia" w:ascii="宋体" w:hAnsi="宋体" w:eastAsia="宋体" w:cs="宋体"/>
          <w:color w:val="000000"/>
          <w:sz w:val="24"/>
        </w:rPr>
        <w:t>”；第</w:t>
      </w:r>
      <w:r>
        <w:rPr>
          <w:rFonts w:ascii="宋体" w:hAnsi="宋体" w:eastAsia="宋体" w:cs="宋体"/>
          <w:color w:val="000000"/>
          <w:sz w:val="24"/>
        </w:rPr>
        <w:t></w:t>
      </w:r>
      <w:r>
        <w:rPr>
          <w:rFonts w:hint="eastAsia" w:ascii="宋体" w:hAnsi="宋体" w:eastAsia="宋体" w:cs="宋体"/>
          <w:color w:val="000000"/>
          <w:sz w:val="24"/>
        </w:rPr>
        <w:t>章“缩略语”；第</w:t>
      </w:r>
      <w:r>
        <w:rPr>
          <w:rFonts w:ascii="宋体" w:hAnsi="宋体" w:eastAsia="宋体" w:cs="宋体"/>
          <w:color w:val="000000"/>
          <w:sz w:val="24"/>
        </w:rPr>
        <w:t></w:t>
      </w:r>
      <w:r>
        <w:rPr>
          <w:rFonts w:hint="eastAsia" w:ascii="宋体" w:hAnsi="宋体" w:eastAsia="宋体" w:cs="宋体"/>
          <w:sz w:val="24"/>
        </w:rPr>
        <w:t>章“系统参考架构</w:t>
      </w:r>
      <w:r>
        <w:rPr>
          <w:rFonts w:hint="eastAsia" w:ascii="宋体" w:hAnsi="宋体" w:eastAsia="宋体" w:cs="宋体"/>
          <w:color w:val="000000"/>
          <w:sz w:val="24"/>
        </w:rPr>
        <w:t>”；第</w:t>
      </w:r>
      <w:r>
        <w:rPr>
          <w:rFonts w:ascii="宋体" w:hAnsi="宋体" w:eastAsia="宋体" w:cs="宋体"/>
          <w:color w:val="000000"/>
          <w:sz w:val="24"/>
        </w:rPr>
        <w:t></w:t>
      </w:r>
      <w:r>
        <w:rPr>
          <w:rFonts w:hint="eastAsia" w:ascii="宋体" w:hAnsi="宋体" w:eastAsia="宋体" w:cs="宋体"/>
          <w:color w:val="000000"/>
          <w:sz w:val="24"/>
        </w:rPr>
        <w:t>章“</w:t>
      </w:r>
      <w:r>
        <w:rPr>
          <w:rFonts w:hint="eastAsia" w:ascii="宋体" w:hAnsi="宋体" w:eastAsia="宋体" w:cs="宋体"/>
          <w:sz w:val="24"/>
        </w:rPr>
        <w:t>功能要求</w:t>
      </w:r>
      <w:r>
        <w:rPr>
          <w:rFonts w:hint="eastAsia" w:ascii="宋体" w:hAnsi="宋体" w:eastAsia="宋体" w:cs="宋体"/>
          <w:color w:val="000000"/>
          <w:sz w:val="24"/>
        </w:rPr>
        <w:t>”；第</w:t>
      </w:r>
      <w:r>
        <w:rPr>
          <w:rFonts w:ascii="宋体" w:hAnsi="宋体" w:eastAsia="宋体" w:cs="宋体"/>
          <w:color w:val="000000"/>
          <w:sz w:val="24"/>
        </w:rPr>
        <w:t></w:t>
      </w:r>
      <w:r>
        <w:rPr>
          <w:rFonts w:hint="eastAsia" w:ascii="宋体" w:hAnsi="宋体" w:eastAsia="宋体" w:cs="宋体"/>
          <w:color w:val="000000"/>
          <w:sz w:val="24"/>
        </w:rPr>
        <w:t>章“</w:t>
      </w:r>
      <w:r>
        <w:rPr>
          <w:rFonts w:hint="eastAsia" w:ascii="宋体" w:hAnsi="宋体" w:eastAsia="宋体" w:cs="宋体"/>
          <w:sz w:val="24"/>
        </w:rPr>
        <w:t>接口</w:t>
      </w:r>
      <w:r>
        <w:rPr>
          <w:rFonts w:hint="eastAsia" w:ascii="宋体" w:hAnsi="宋体" w:eastAsia="宋体" w:cs="宋体"/>
          <w:color w:val="000000"/>
          <w:sz w:val="24"/>
        </w:rPr>
        <w:t>要求”。</w:t>
      </w:r>
    </w:p>
    <w:p>
      <w:pPr>
        <w:spacing w:line="360" w:lineRule="auto"/>
        <w:ind w:firstLine="480" w:firstLineChars="200"/>
        <w:rPr>
          <w:rFonts w:ascii="宋体" w:hAnsi="宋体" w:cs="宋体"/>
          <w:color w:val="000000"/>
          <w:sz w:val="24"/>
          <w:szCs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1</w:t>
      </w:r>
      <w:r>
        <w:rPr>
          <w:rFonts w:hint="eastAsia" w:ascii="宋体" w:hAnsi="宋体" w:eastAsia="宋体" w:cs="宋体"/>
          <w:color w:val="000000"/>
          <w:sz w:val="24"/>
        </w:rPr>
        <w:t>章阐述了本</w:t>
      </w:r>
      <w:r>
        <w:rPr>
          <w:rFonts w:hint="eastAsia" w:ascii="宋体" w:hAnsi="宋体" w:eastAsia="宋体" w:cs="宋体"/>
          <w:sz w:val="24"/>
        </w:rPr>
        <w:t>标准</w:t>
      </w:r>
      <w:r>
        <w:rPr>
          <w:rFonts w:hint="eastAsia" w:ascii="宋体" w:hAnsi="宋体" w:eastAsia="宋体" w:cs="宋体"/>
          <w:color w:val="000000"/>
          <w:sz w:val="24"/>
        </w:rPr>
        <w:t>的主要内容及范围。</w:t>
      </w:r>
    </w:p>
    <w:p>
      <w:pPr>
        <w:spacing w:line="360" w:lineRule="auto"/>
        <w:ind w:firstLine="480" w:firstLineChars="200"/>
        <w:rPr>
          <w:rFonts w:ascii="宋体" w:hAnsi="宋体" w:cs="宋体"/>
          <w:color w:val="000000"/>
          <w:sz w:val="24"/>
          <w:szCs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2</w:t>
      </w:r>
      <w:r>
        <w:rPr>
          <w:rFonts w:hint="eastAsia" w:ascii="宋体" w:hAnsi="宋体" w:eastAsia="宋体" w:cs="宋体"/>
          <w:color w:val="000000"/>
          <w:sz w:val="24"/>
        </w:rPr>
        <w:t>章说明了本</w:t>
      </w:r>
      <w:r>
        <w:rPr>
          <w:rFonts w:hint="eastAsia" w:ascii="宋体" w:hAnsi="宋体" w:eastAsia="宋体" w:cs="宋体"/>
          <w:sz w:val="24"/>
        </w:rPr>
        <w:t>标准</w:t>
      </w:r>
      <w:r>
        <w:rPr>
          <w:rFonts w:hint="eastAsia" w:ascii="宋体" w:hAnsi="宋体" w:eastAsia="宋体" w:cs="宋体"/>
          <w:color w:val="000000"/>
          <w:sz w:val="24"/>
        </w:rPr>
        <w:t>的引用文件。</w:t>
      </w:r>
    </w:p>
    <w:p>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3</w:t>
      </w:r>
      <w:r>
        <w:rPr>
          <w:rFonts w:hint="eastAsia" w:ascii="宋体" w:hAnsi="宋体" w:eastAsia="宋体" w:cs="宋体"/>
          <w:color w:val="000000"/>
          <w:sz w:val="24"/>
        </w:rPr>
        <w:t>章列出了本</w:t>
      </w:r>
      <w:r>
        <w:rPr>
          <w:rFonts w:hint="eastAsia" w:ascii="宋体" w:hAnsi="宋体" w:eastAsia="宋体" w:cs="宋体"/>
          <w:sz w:val="24"/>
        </w:rPr>
        <w:t>标准</w:t>
      </w:r>
      <w:r>
        <w:rPr>
          <w:rFonts w:hint="eastAsia" w:ascii="宋体" w:hAnsi="宋体" w:eastAsia="宋体" w:cs="宋体"/>
          <w:color w:val="000000"/>
          <w:sz w:val="24"/>
        </w:rPr>
        <w:t>中术语的引用和定义。</w:t>
      </w:r>
      <w:r>
        <w:rPr>
          <w:rFonts w:hint="eastAsia" w:ascii="宋体" w:hAnsi="宋体" w:eastAsia="宋体" w:cs="宋体"/>
          <w:sz w:val="24"/>
        </w:rPr>
        <w:t>从传统数据中心概念出发，进一步定义了“智算中心”、“智算网络”等专业术语。</w:t>
      </w:r>
    </w:p>
    <w:p>
      <w:pPr>
        <w:spacing w:line="360" w:lineRule="auto"/>
        <w:ind w:firstLine="480" w:firstLineChars="200"/>
        <w:rPr>
          <w:rFonts w:ascii="宋体" w:hAnsi="宋体" w:cs="宋体"/>
          <w:color w:val="000000"/>
          <w:sz w:val="24"/>
          <w:szCs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4</w:t>
      </w:r>
      <w:r>
        <w:rPr>
          <w:rFonts w:hint="eastAsia" w:ascii="宋体" w:hAnsi="宋体" w:eastAsia="宋体" w:cs="宋体"/>
          <w:sz w:val="24"/>
        </w:rPr>
        <w:t>章列出了本标准</w:t>
      </w:r>
      <w:r>
        <w:rPr>
          <w:rFonts w:hint="eastAsia" w:ascii="宋体" w:hAnsi="宋体" w:eastAsia="宋体" w:cs="宋体"/>
          <w:color w:val="000000"/>
          <w:sz w:val="24"/>
        </w:rPr>
        <w:t>涉及的缩略语。</w:t>
      </w:r>
    </w:p>
    <w:p>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5</w:t>
      </w:r>
      <w:r>
        <w:rPr>
          <w:rFonts w:hint="eastAsia" w:ascii="宋体" w:hAnsi="宋体" w:eastAsia="宋体" w:cs="宋体"/>
          <w:color w:val="000000"/>
          <w:sz w:val="24"/>
        </w:rPr>
        <w:t>章给出了</w:t>
      </w:r>
      <w:r>
        <w:rPr>
          <w:rFonts w:hint="eastAsia" w:ascii="宋体" w:hAnsi="宋体" w:eastAsia="宋体" w:cs="宋体"/>
          <w:sz w:val="24"/>
        </w:rPr>
        <w:t>智算网络的总体参考架构以及部署参考架构。</w:t>
      </w:r>
    </w:p>
    <w:p>
      <w:pPr>
        <w:spacing w:line="360" w:lineRule="auto"/>
        <w:ind w:firstLine="480" w:firstLineChars="200"/>
        <w:rPr>
          <w:rFonts w:ascii="宋体" w:hAnsi="宋体" w:cs="宋体"/>
          <w:sz w:val="24"/>
        </w:rPr>
      </w:pPr>
      <w:r>
        <w:rPr>
          <w:rFonts w:hint="eastAsia" w:ascii="宋体" w:hAnsi="宋体" w:eastAsia="宋体" w:cs="宋体"/>
          <w:color w:val="000000"/>
          <w:sz w:val="24"/>
        </w:rPr>
        <w:t>第</w:t>
      </w:r>
      <w:r>
        <w:rPr>
          <w:rFonts w:hint="eastAsia" w:ascii="宋体" w:hAnsi="宋体" w:eastAsia="宋体" w:cs="宋体"/>
          <w:color w:val="000000"/>
          <w:sz w:val="24"/>
          <w:lang w:val="en-US" w:eastAsia="zh-CN"/>
        </w:rPr>
        <w:t>6</w:t>
      </w:r>
      <w:bookmarkStart w:id="0" w:name="_GoBack"/>
      <w:bookmarkEnd w:id="0"/>
      <w:r>
        <w:rPr>
          <w:rFonts w:hint="eastAsia" w:ascii="宋体" w:hAnsi="宋体" w:eastAsia="宋体" w:cs="宋体"/>
          <w:color w:val="000000"/>
          <w:sz w:val="24"/>
        </w:rPr>
        <w:t>章</w:t>
      </w:r>
      <w:r>
        <w:rPr>
          <w:rFonts w:hint="eastAsia" w:ascii="宋体" w:hAnsi="宋体" w:eastAsia="宋体" w:cs="宋体"/>
          <w:sz w:val="24"/>
        </w:rPr>
        <w:t>基于第</w:t>
      </w:r>
      <w:r>
        <w:rPr>
          <w:rFonts w:ascii="宋体" w:hAnsi="宋体" w:eastAsia="宋体" w:cs="宋体"/>
          <w:sz w:val="24"/>
        </w:rPr>
        <w:t>5章总体架构中的</w:t>
      </w:r>
      <w:r>
        <w:rPr>
          <w:rFonts w:hint="eastAsia" w:ascii="宋体" w:hAnsi="宋体" w:eastAsia="宋体" w:cs="宋体"/>
          <w:sz w:val="24"/>
        </w:rPr>
        <w:t>业务分层设计，提出了智算网络内资源层、适配层、网络层、调度层、应用层、运营层、安全机制各业务层的具体功能。</w:t>
      </w:r>
    </w:p>
    <w:p>
      <w:pPr>
        <w:spacing w:line="360" w:lineRule="auto"/>
        <w:ind w:firstLine="480" w:firstLineChars="200"/>
        <w:rPr>
          <w:rFonts w:ascii="宋体" w:hAnsi="宋体" w:eastAsia="宋体" w:cs="宋体"/>
          <w:sz w:val="24"/>
        </w:rPr>
      </w:pPr>
      <w:r>
        <w:rPr>
          <w:rFonts w:hint="eastAsia" w:ascii="宋体" w:hAnsi="宋体" w:eastAsia="宋体" w:cs="宋体"/>
          <w:color w:val="auto"/>
          <w:sz w:val="24"/>
        </w:rPr>
        <w:t>第</w:t>
      </w:r>
      <w:r>
        <w:rPr>
          <w:rFonts w:ascii="宋体" w:hAnsi="宋体" w:eastAsia="宋体" w:cs="宋体"/>
          <w:color w:val="auto"/>
          <w:sz w:val="24"/>
        </w:rPr>
        <w:t>7</w:t>
      </w:r>
      <w:r>
        <w:rPr>
          <w:rFonts w:hint="eastAsia" w:ascii="宋体" w:hAnsi="宋体" w:eastAsia="宋体" w:cs="宋体"/>
          <w:color w:val="auto"/>
          <w:sz w:val="24"/>
        </w:rPr>
        <w:t>章</w:t>
      </w:r>
      <w:r>
        <w:rPr>
          <w:rFonts w:hint="eastAsia" w:ascii="宋体" w:hAnsi="宋体" w:eastAsia="宋体" w:cs="宋体"/>
          <w:sz w:val="24"/>
        </w:rPr>
        <w:t>基于第5章总体架构中的各业务分层关系，提出了智算网络内需包含的接口及各接口的功能要求。</w:t>
      </w:r>
    </w:p>
    <w:p>
      <w:pPr>
        <w:spacing w:line="360" w:lineRule="auto"/>
        <w:ind w:firstLine="0" w:firstLineChars="0"/>
        <w:rPr>
          <w:rFonts w:ascii="宋体" w:hAnsi="宋体" w:eastAsia="宋体" w:cs="宋体"/>
          <w:b/>
          <w:sz w:val="24"/>
        </w:rPr>
      </w:pPr>
      <w:r>
        <w:rPr>
          <w:rFonts w:ascii="宋体" w:hAnsi="宋体" w:eastAsia="宋体" w:cs="宋体"/>
          <w:b/>
          <w:sz w:val="24"/>
        </w:rPr>
        <w:t xml:space="preserve">3. </w:t>
      </w:r>
      <w:r>
        <w:rPr>
          <w:rFonts w:hint="eastAsia" w:ascii="宋体" w:hAnsi="宋体" w:eastAsia="宋体" w:cs="宋体"/>
          <w:b/>
          <w:sz w:val="24"/>
        </w:rPr>
        <w:t>解决的主要问题</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本标准拟解决以下问题：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不同区域的人工智能算力中心在系统架构、算力芯片、存储、网络资源上存在高度异构性，没有统一的互联标准，如何通过标准化手段屏蔽多层次异构性，提升跨区域算力调度水平成为亟待解决的技术和产业问题；</w:t>
      </w:r>
    </w:p>
    <w:p>
      <w:pPr>
        <w:spacing w:line="360" w:lineRule="auto"/>
        <w:ind w:firstLine="480" w:firstLineChars="200"/>
        <w:rPr>
          <w:rFonts w:ascii="宋体" w:hAnsi="宋体" w:eastAsia="宋体" w:cs="宋体"/>
          <w:sz w:val="24"/>
        </w:rPr>
      </w:pPr>
      <w:r>
        <w:rPr>
          <w:rFonts w:hint="eastAsia" w:ascii="宋体" w:hAnsi="宋体" w:eastAsia="宋体" w:cs="宋体"/>
          <w:sz w:val="24"/>
        </w:rPr>
        <w:t>2）各智算中心内的数据要素建设相对分散，尚缺乏统一标准和流动机制，数据/模型等的访问安全和隐私存在顾虑，如何打通各地智算中心，形成多智算中心间数据、模型等关键要素的流通尚缺乏标准化指导；</w:t>
      </w:r>
    </w:p>
    <w:p>
      <w:pPr>
        <w:spacing w:line="360" w:lineRule="auto"/>
        <w:ind w:firstLine="480" w:firstLineChars="200"/>
        <w:rPr>
          <w:rFonts w:ascii="宋体" w:hAnsi="宋体" w:eastAsia="宋体" w:cs="宋体"/>
          <w:sz w:val="24"/>
        </w:rPr>
      </w:pPr>
      <w:r>
        <w:rPr>
          <w:rFonts w:hint="eastAsia" w:ascii="宋体" w:hAnsi="宋体" w:eastAsia="宋体" w:cs="宋体"/>
          <w:sz w:val="24"/>
        </w:rPr>
        <w:t>3）人工智能算力网络的建设没有标准化指导，导致各企业、相关机构在推进智算中心互联的过程中使用的系统架构、调度接口、业务分层不一致，可能严重影响全国一体化算力基础设施的建设进度。</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主要</w:t>
      </w:r>
      <w:r>
        <w:rPr>
          <w:rFonts w:hint="eastAsia"/>
          <w:b/>
          <w:color w:val="000000"/>
          <w:sz w:val="24"/>
        </w:rPr>
        <w:t>试验</w:t>
      </w:r>
      <w:r>
        <w:rPr>
          <w:rFonts w:hint="eastAsia" w:ascii="楷体_GB2312" w:eastAsia="楷体_GB2312"/>
          <w:b/>
          <w:color w:val="000000"/>
          <w:szCs w:val="21"/>
        </w:rPr>
        <w:t>[或验证]</w:t>
      </w:r>
      <w:r>
        <w:rPr>
          <w:rFonts w:hint="eastAsia"/>
          <w:b/>
          <w:color w:val="000000"/>
          <w:sz w:val="24"/>
        </w:rPr>
        <w:t>情</w:t>
      </w:r>
      <w:r>
        <w:rPr>
          <w:rFonts w:hint="eastAsia" w:ascii="宋体" w:hAnsi="宋体" w:eastAsia="宋体" w:cs="宋体"/>
          <w:b/>
          <w:bCs/>
          <w:sz w:val="24"/>
        </w:rPr>
        <w:t>况分析</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本标准所规定的内容经过国内各大设备厂商及行业内实际研发过程中的试验和测试，已被证明确实可行。</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知识产权情况说明</w:t>
      </w:r>
    </w:p>
    <w:p>
      <w:pPr>
        <w:spacing w:line="360" w:lineRule="auto"/>
        <w:ind w:firstLine="480" w:firstLineChars="200"/>
        <w:rPr>
          <w:rFonts w:ascii="宋体" w:hAnsi="宋体" w:eastAsia="宋体" w:cs="宋体"/>
          <w:sz w:val="24"/>
        </w:rPr>
      </w:pPr>
      <w:r>
        <w:rPr>
          <w:rFonts w:hint="eastAsia" w:hAnsi="Times New Roman" w:eastAsia="宋体" w:cs="Times New Roman"/>
          <w:sz w:val="24"/>
        </w:rPr>
        <w:t>本标准不涉及任何专利及知识产权。</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采用国际标准和国外先进标准情况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本部分未采用国际标准。算力网络概念在ITU-T Y.250等国际相关标准中主要针对通信网络, 重点关注端边云架构下的高带宽、低延迟业务场景，未涉及智算中心互联协作。本部分提出的总体要求，针对人工智能算力网络互联协作，并不与以上标准重复或冲突。</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与现行相关法律、法规、规章及相关标准的协调性</w:t>
      </w:r>
    </w:p>
    <w:p>
      <w:pPr>
        <w:spacing w:line="360" w:lineRule="auto"/>
        <w:ind w:left="482"/>
        <w:rPr>
          <w:rFonts w:hAnsi="宋体"/>
          <w:color w:val="000000"/>
          <w:sz w:val="24"/>
        </w:rPr>
      </w:pPr>
      <w:r>
        <w:rPr>
          <w:rFonts w:hint="eastAsia" w:hAnsi="宋体"/>
          <w:color w:val="000000"/>
          <w:sz w:val="24"/>
        </w:rPr>
        <w:t>本标准与现行相关法律、法规、规章及相关标准协调一致。</w:t>
      </w:r>
    </w:p>
    <w:p>
      <w:pPr>
        <w:spacing w:line="360" w:lineRule="auto"/>
        <w:ind w:left="482"/>
        <w:rPr>
          <w:rFonts w:ascii="宋体" w:hAnsi="宋体" w:eastAsia="宋体" w:cs="宋体"/>
          <w:b/>
          <w:bCs/>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重大分歧意见的处理经过和依据</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标准性质的建议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建议发布为推荐性标准。</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贯彻标准的要求和措施建议</w:t>
      </w:r>
    </w:p>
    <w:p>
      <w:pPr>
        <w:spacing w:line="360" w:lineRule="auto"/>
        <w:ind w:firstLine="480" w:firstLineChars="200"/>
        <w:rPr>
          <w:rFonts w:ascii="宋体" w:hAnsi="宋体" w:eastAsia="宋体" w:cs="宋体"/>
          <w:sz w:val="24"/>
        </w:rPr>
      </w:pPr>
      <w:r>
        <w:rPr>
          <w:rFonts w:hint="eastAsia" w:ascii="宋体" w:hAnsi="宋体" w:eastAsia="宋体" w:cs="宋体"/>
          <w:sz w:val="24"/>
        </w:rPr>
        <w:t>本部分可单独使用，并宜与《人工智能算力网络》系列标准搭配使用。</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替代或废止现行相关标准的建议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其它应予说明的事项</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r>
        <w:rPr>
          <w:rFonts w:hint="eastAsia" w:ascii="宋体" w:hAnsi="宋体" w:eastAsia="宋体" w:cs="宋体"/>
          <w:sz w:val="24"/>
        </w:rPr>
        <w:t>团体标准《人工智能算力网络 第1部分：总体要求》编制工作组</w:t>
      </w:r>
    </w:p>
    <w:p>
      <w:pPr>
        <w:spacing w:line="360" w:lineRule="auto"/>
        <w:jc w:val="right"/>
        <w:rPr>
          <w:rFonts w:ascii="宋体" w:hAnsi="宋体" w:eastAsia="宋体" w:cs="宋体"/>
          <w:sz w:val="24"/>
        </w:rPr>
      </w:pPr>
      <w:r>
        <w:rPr>
          <w:rFonts w:hint="eastAsia" w:ascii="宋体" w:hAnsi="宋体" w:eastAsia="宋体" w:cs="宋体"/>
          <w:sz w:val="24"/>
        </w:rPr>
        <w:t>2023-07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2E02"/>
    <w:multiLevelType w:val="singleLevel"/>
    <w:tmpl w:val="E3FF2E02"/>
    <w:lvl w:ilvl="0" w:tentative="0">
      <w:start w:val="1"/>
      <w:numFmt w:val="chineseCounting"/>
      <w:suff w:val="nothing"/>
      <w:lvlText w:val="%1、"/>
      <w:lvlJc w:val="left"/>
      <w:rPr>
        <w:rFonts w:hint="eastAsia"/>
      </w:rPr>
    </w:lvl>
  </w:abstractNum>
  <w:abstractNum w:abstractNumId="1">
    <w:nsid w:val="200E7C45"/>
    <w:multiLevelType w:val="multilevel"/>
    <w:tmpl w:val="200E7C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F0609"/>
    <w:rsid w:val="0006357F"/>
    <w:rsid w:val="000E601C"/>
    <w:rsid w:val="00107BF0"/>
    <w:rsid w:val="001439A1"/>
    <w:rsid w:val="001A189C"/>
    <w:rsid w:val="002400B6"/>
    <w:rsid w:val="002956A2"/>
    <w:rsid w:val="002B600A"/>
    <w:rsid w:val="002F0609"/>
    <w:rsid w:val="00347D40"/>
    <w:rsid w:val="0062169F"/>
    <w:rsid w:val="00727C92"/>
    <w:rsid w:val="0074052A"/>
    <w:rsid w:val="00797C3B"/>
    <w:rsid w:val="007B5D45"/>
    <w:rsid w:val="00803D62"/>
    <w:rsid w:val="00842051"/>
    <w:rsid w:val="008721DB"/>
    <w:rsid w:val="00890F6A"/>
    <w:rsid w:val="008A6F23"/>
    <w:rsid w:val="008B1DA4"/>
    <w:rsid w:val="008E36F2"/>
    <w:rsid w:val="00934E17"/>
    <w:rsid w:val="009A4AB9"/>
    <w:rsid w:val="009E21A5"/>
    <w:rsid w:val="00A031EF"/>
    <w:rsid w:val="00A05036"/>
    <w:rsid w:val="00A77252"/>
    <w:rsid w:val="00A96018"/>
    <w:rsid w:val="00AA50FB"/>
    <w:rsid w:val="00AA7513"/>
    <w:rsid w:val="00AB3FA9"/>
    <w:rsid w:val="00AF0A56"/>
    <w:rsid w:val="00B20C37"/>
    <w:rsid w:val="00B328FD"/>
    <w:rsid w:val="00B41089"/>
    <w:rsid w:val="00B74D5B"/>
    <w:rsid w:val="00B86689"/>
    <w:rsid w:val="00C519BE"/>
    <w:rsid w:val="00D11471"/>
    <w:rsid w:val="00D32695"/>
    <w:rsid w:val="00D3552F"/>
    <w:rsid w:val="00DA0D10"/>
    <w:rsid w:val="00DA328F"/>
    <w:rsid w:val="00E40C97"/>
    <w:rsid w:val="00E90450"/>
    <w:rsid w:val="00EA0D32"/>
    <w:rsid w:val="00EE45A7"/>
    <w:rsid w:val="00F353FE"/>
    <w:rsid w:val="03575C81"/>
    <w:rsid w:val="05CF7F7D"/>
    <w:rsid w:val="090E293E"/>
    <w:rsid w:val="0C2558FC"/>
    <w:rsid w:val="0E801663"/>
    <w:rsid w:val="118E286E"/>
    <w:rsid w:val="139E0D62"/>
    <w:rsid w:val="162419F3"/>
    <w:rsid w:val="190F698A"/>
    <w:rsid w:val="1AE20774"/>
    <w:rsid w:val="1C935B8E"/>
    <w:rsid w:val="21627873"/>
    <w:rsid w:val="25F0369F"/>
    <w:rsid w:val="2E990845"/>
    <w:rsid w:val="2F8135BA"/>
    <w:rsid w:val="31CB7703"/>
    <w:rsid w:val="38D155B2"/>
    <w:rsid w:val="3A3C6A5B"/>
    <w:rsid w:val="3A52002D"/>
    <w:rsid w:val="3A6036E3"/>
    <w:rsid w:val="3B7F4E52"/>
    <w:rsid w:val="3B934DA1"/>
    <w:rsid w:val="3C6329C5"/>
    <w:rsid w:val="3CAC4825"/>
    <w:rsid w:val="3E2611A5"/>
    <w:rsid w:val="40B16B92"/>
    <w:rsid w:val="43813731"/>
    <w:rsid w:val="4392466E"/>
    <w:rsid w:val="43F9776B"/>
    <w:rsid w:val="449C6A74"/>
    <w:rsid w:val="451600FD"/>
    <w:rsid w:val="4791488A"/>
    <w:rsid w:val="480A0199"/>
    <w:rsid w:val="48C540C0"/>
    <w:rsid w:val="49227764"/>
    <w:rsid w:val="498443C6"/>
    <w:rsid w:val="49DE6A8D"/>
    <w:rsid w:val="4C900C50"/>
    <w:rsid w:val="4EE72FE2"/>
    <w:rsid w:val="534A3B3F"/>
    <w:rsid w:val="53B51901"/>
    <w:rsid w:val="5ABD553F"/>
    <w:rsid w:val="5B6559BA"/>
    <w:rsid w:val="5C87131E"/>
    <w:rsid w:val="5DC56BE4"/>
    <w:rsid w:val="60A96349"/>
    <w:rsid w:val="628F5A13"/>
    <w:rsid w:val="636D4CB4"/>
    <w:rsid w:val="67470882"/>
    <w:rsid w:val="681744E0"/>
    <w:rsid w:val="6BAC4F3F"/>
    <w:rsid w:val="6E2E7E8E"/>
    <w:rsid w:val="6F6873CF"/>
    <w:rsid w:val="733A72D5"/>
    <w:rsid w:val="7CB43C54"/>
    <w:rsid w:val="7D4C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Wingdings" w:hAnsi="Wingdings" w:eastAsia="Wingdings" w:cs="Wingdings"/>
      <w:kern w:val="0"/>
      <w:sz w:val="24"/>
    </w:rPr>
  </w:style>
  <w:style w:type="paragraph" w:styleId="7">
    <w:name w:val="annotation subject"/>
    <w:basedOn w:val="2"/>
    <w:next w:val="2"/>
    <w:link w:val="18"/>
    <w:uiPriority w:val="0"/>
    <w:rPr>
      <w:b/>
      <w:bCs/>
    </w:rPr>
  </w:style>
  <w:style w:type="character" w:styleId="10">
    <w:name w:val="annotation reference"/>
    <w:basedOn w:val="9"/>
    <w:qFormat/>
    <w:uiPriority w:val="0"/>
    <w:rPr>
      <w:sz w:val="21"/>
      <w:szCs w:val="21"/>
    </w:rPr>
  </w:style>
  <w:style w:type="paragraph" w:customStyle="1" w:styleId="11">
    <w:name w:val="段"/>
    <w:link w:val="16"/>
    <w:qFormat/>
    <w:uiPriority w:val="0"/>
    <w:pPr>
      <w:tabs>
        <w:tab w:val="center" w:pos="4201"/>
        <w:tab w:val="right" w:leader="dot" w:pos="9298"/>
      </w:tabs>
      <w:autoSpaceDE w:val="0"/>
      <w:autoSpaceDN w:val="0"/>
      <w:ind w:firstLine="420" w:firstLineChars="200"/>
      <w:jc w:val="both"/>
    </w:pPr>
    <w:rPr>
      <w:rFonts w:ascii="Wingdings" w:hAnsi="Cambria Math" w:eastAsia="宋体" w:cs="Cambria Math"/>
      <w:sz w:val="21"/>
      <w:lang w:val="en-US" w:eastAsia="zh-CN" w:bidi="ar-SA"/>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页脚 字符"/>
    <w:basedOn w:val="9"/>
    <w:link w:val="4"/>
    <w:uiPriority w:val="0"/>
    <w:rPr>
      <w:rFonts w:asciiTheme="minorHAnsi" w:hAnsiTheme="minorHAnsi" w:eastAsiaTheme="minorEastAsia" w:cstheme="minorBidi"/>
      <w:kern w:val="2"/>
      <w:sz w:val="18"/>
      <w:szCs w:val="18"/>
    </w:rPr>
  </w:style>
  <w:style w:type="paragraph" w:styleId="15">
    <w:name w:val="List Paragraph"/>
    <w:basedOn w:val="1"/>
    <w:uiPriority w:val="99"/>
    <w:pPr>
      <w:ind w:firstLine="420" w:firstLineChars="200"/>
    </w:pPr>
  </w:style>
  <w:style w:type="character" w:customStyle="1" w:styleId="16">
    <w:name w:val="段 Char"/>
    <w:link w:val="11"/>
    <w:qFormat/>
    <w:uiPriority w:val="0"/>
    <w:rPr>
      <w:rFonts w:ascii="Wingdings" w:hAnsi="Cambria Math" w:cs="Cambria Math"/>
      <w:sz w:val="21"/>
    </w:rPr>
  </w:style>
  <w:style w:type="character" w:customStyle="1" w:styleId="17">
    <w:name w:val="批注文字 字符"/>
    <w:basedOn w:val="9"/>
    <w:link w:val="2"/>
    <w:uiPriority w:val="0"/>
    <w:rPr>
      <w:rFonts w:asciiTheme="minorHAnsi" w:hAnsiTheme="minorHAnsi" w:eastAsiaTheme="minorEastAsia" w:cstheme="minorBidi"/>
      <w:kern w:val="2"/>
      <w:sz w:val="21"/>
      <w:szCs w:val="24"/>
    </w:rPr>
  </w:style>
  <w:style w:type="character" w:customStyle="1" w:styleId="18">
    <w:name w:val="批注主题 字符"/>
    <w:basedOn w:val="17"/>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707</Words>
  <Characters>4031</Characters>
  <Lines>33</Lines>
  <Paragraphs>9</Paragraphs>
  <TotalTime>0</TotalTime>
  <ScaleCrop>false</ScaleCrop>
  <LinksUpToDate>false</LinksUpToDate>
  <CharactersWithSpaces>4729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2023-04-27T06:30:00Z</dcterms:created>
  <dc:creator>lkf</dc:creator>
  <cp:lastModifiedBy>竟然有人</cp:lastModifiedBy>
  <dcterms:modified xsi:type="dcterms:W3CDTF">2023-07-18T08:45:15Z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083F5505BA574158A9D58F96A5D31E8B_13</vt:lpwstr>
  </property>
</Properties>
</file>