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40"/>
        <w:jc w:val="center"/>
        <w:rPr>
          <w:rFonts w:asciiTheme="minorEastAsia" w:hAnsiTheme="minorEastAsia"/>
          <w:color w:val="000000" w:themeColor="text1"/>
          <w:sz w:val="30"/>
          <w:szCs w:val="30"/>
          <w14:textFill>
            <w14:solidFill>
              <w14:schemeClr w14:val="tx1"/>
            </w14:solidFill>
          </w14:textFill>
        </w:rPr>
      </w:pPr>
      <w:r>
        <w:rPr>
          <w:rFonts w:hint="eastAsia" w:ascii="宋体" w:hAnsi="宋体" w:cs="宋体"/>
          <w:sz w:val="30"/>
          <w:szCs w:val="30"/>
        </w:rPr>
        <w:t>团体标准《</w:t>
      </w:r>
      <w:bookmarkStart w:id="0" w:name="_Hlk152839583"/>
      <w:r>
        <w:rPr>
          <w:rFonts w:hint="eastAsia" w:ascii="宋体" w:hAnsi="宋体" w:cs="宋体"/>
          <w:sz w:val="30"/>
          <w:szCs w:val="30"/>
        </w:rPr>
        <w:t>感知无损压缩 第1部分：图像</w:t>
      </w:r>
      <w:bookmarkEnd w:id="0"/>
      <w:r>
        <w:rPr>
          <w:rFonts w:hint="eastAsia" w:ascii="宋体" w:hAnsi="宋体" w:cs="宋体"/>
          <w:sz w:val="30"/>
          <w:szCs w:val="30"/>
        </w:rPr>
        <w:t>》报批稿编制说明</w:t>
      </w:r>
    </w:p>
    <w:p>
      <w:pPr>
        <w:spacing w:line="360" w:lineRule="auto"/>
        <w:ind w:firstLine="472" w:firstLineChars="196"/>
        <w:rPr>
          <w:rFonts w:ascii="宋体" w:hAnsi="宋体"/>
          <w:b/>
          <w:bCs/>
          <w:sz w:val="24"/>
        </w:rPr>
      </w:pPr>
    </w:p>
    <w:p>
      <w:pPr>
        <w:spacing w:line="360" w:lineRule="auto"/>
        <w:ind w:firstLine="472" w:firstLineChars="196"/>
        <w:rPr>
          <w:rFonts w:ascii="宋体" w:hAnsi="宋体"/>
          <w:b/>
          <w:bCs/>
          <w:sz w:val="24"/>
        </w:rPr>
      </w:pPr>
      <w:r>
        <w:rPr>
          <w:rFonts w:hint="eastAsia" w:ascii="宋体" w:hAnsi="宋体"/>
          <w:b/>
          <w:bCs/>
          <w:sz w:val="24"/>
        </w:rPr>
        <w:t>一、工作简况</w:t>
      </w:r>
    </w:p>
    <w:p>
      <w:pPr>
        <w:spacing w:line="360" w:lineRule="auto"/>
        <w:rPr>
          <w:rFonts w:ascii="宋体" w:hAnsi="宋体"/>
          <w:b/>
          <w:bCs/>
          <w:sz w:val="24"/>
        </w:rPr>
      </w:pPr>
      <w:r>
        <w:rPr>
          <w:rFonts w:hint="eastAsia" w:ascii="宋体" w:hAnsi="宋体"/>
          <w:b/>
          <w:bCs/>
          <w:sz w:val="24"/>
        </w:rPr>
        <w:t>1. 任务来源</w:t>
      </w:r>
    </w:p>
    <w:p>
      <w:pPr>
        <w:pStyle w:val="9"/>
        <w:framePr w:w="0" w:hRule="auto" w:wrap="auto" w:vAnchor="margin" w:hAnchor="text" w:xAlign="left" w:yAlign="inline"/>
        <w:tabs>
          <w:tab w:val="left" w:pos="0"/>
        </w:tabs>
        <w:spacing w:line="360" w:lineRule="auto"/>
        <w:ind w:firstLine="424" w:firstLineChars="177"/>
        <w:jc w:val="both"/>
        <w:rPr>
          <w:rFonts w:ascii="宋体" w:hAnsi="宋体" w:eastAsia="宋体" w:cs="宋体"/>
          <w:sz w:val="24"/>
        </w:rPr>
      </w:pPr>
      <w:r>
        <w:rPr>
          <w:rFonts w:ascii="宋体" w:hAnsi="宋体" w:eastAsia="宋体" w:cs="宋体"/>
          <w:sz w:val="24"/>
        </w:rPr>
        <w:t>《</w:t>
      </w:r>
      <w:r>
        <w:rPr>
          <w:rFonts w:hint="eastAsia" w:ascii="宋体" w:hAnsi="宋体" w:eastAsia="宋体" w:cs="宋体"/>
          <w:sz w:val="24"/>
        </w:rPr>
        <w:t>感知无损压缩 第1部分：图像</w:t>
      </w:r>
      <w:bookmarkStart w:id="9" w:name="_GoBack"/>
      <w:bookmarkEnd w:id="9"/>
      <w:r>
        <w:rPr>
          <w:rFonts w:ascii="宋体" w:hAnsi="宋体" w:eastAsia="宋体" w:cs="宋体"/>
          <w:sz w:val="24"/>
        </w:rPr>
        <w:t>》（以下简称PLC</w:t>
      </w:r>
      <w:r>
        <w:rPr>
          <w:rFonts w:hint="eastAsia" w:ascii="宋体" w:hAnsi="宋体" w:eastAsia="宋体" w:cs="宋体"/>
          <w:sz w:val="24"/>
        </w:rPr>
        <w:t>标准）规定了人眼感知质量无损等级的高效图像压缩方法的压缩位流结构与解码过程。本标准适用于高速视频</w:t>
      </w:r>
      <w:r>
        <w:rPr>
          <w:rFonts w:ascii="宋体" w:hAnsi="宋体" w:eastAsia="宋体" w:cs="宋体"/>
          <w:sz w:val="24"/>
        </w:rPr>
        <w:t>传输</w:t>
      </w:r>
      <w:r>
        <w:rPr>
          <w:rFonts w:hint="eastAsia" w:ascii="宋体" w:hAnsi="宋体" w:eastAsia="宋体" w:cs="宋体"/>
          <w:sz w:val="24"/>
        </w:rPr>
        <w:t>接口、</w:t>
      </w:r>
      <w:r>
        <w:rPr>
          <w:rFonts w:ascii="宋体" w:hAnsi="宋体" w:eastAsia="宋体" w:cs="宋体"/>
          <w:sz w:val="24"/>
        </w:rPr>
        <w:t>帧存压缩</w:t>
      </w:r>
      <w:r>
        <w:rPr>
          <w:rFonts w:hint="eastAsia" w:ascii="宋体" w:hAnsi="宋体" w:eastAsia="宋体" w:cs="宋体"/>
          <w:sz w:val="24"/>
        </w:rPr>
        <w:t>等多种应用。其项目计划代号为</w:t>
      </w:r>
      <w:r>
        <w:rPr>
          <w:rFonts w:ascii="宋体" w:hAnsi="宋体" w:eastAsia="宋体" w:cs="宋体"/>
          <w:sz w:val="24"/>
        </w:rPr>
        <w:t>2023011201</w:t>
      </w:r>
      <w:r>
        <w:rPr>
          <w:rFonts w:hint="eastAsia" w:ascii="宋体" w:hAnsi="宋体" w:eastAsia="宋体" w:cs="宋体"/>
          <w:sz w:val="24"/>
        </w:rPr>
        <w:t>。</w:t>
      </w:r>
    </w:p>
    <w:p>
      <w:pPr>
        <w:spacing w:line="360" w:lineRule="auto"/>
        <w:rPr>
          <w:rFonts w:ascii="宋体" w:hAnsi="宋体"/>
          <w:b/>
          <w:bCs/>
          <w:sz w:val="24"/>
        </w:rPr>
      </w:pPr>
      <w:r>
        <w:rPr>
          <w:rFonts w:hint="eastAsia" w:ascii="宋体" w:hAnsi="宋体"/>
          <w:b/>
          <w:bCs/>
          <w:sz w:val="24"/>
        </w:rPr>
        <w:t>2. 编制组成</w:t>
      </w:r>
    </w:p>
    <w:p>
      <w:pPr>
        <w:pStyle w:val="9"/>
        <w:framePr w:w="0" w:hRule="auto" w:wrap="auto" w:vAnchor="margin" w:hAnchor="text" w:xAlign="left" w:yAlign="inline"/>
        <w:tabs>
          <w:tab w:val="left" w:pos="0"/>
        </w:tabs>
        <w:spacing w:line="360" w:lineRule="auto"/>
        <w:ind w:firstLine="424" w:firstLineChars="177"/>
        <w:jc w:val="both"/>
        <w:rPr>
          <w:rFonts w:ascii="宋体" w:hAnsi="宋体" w:eastAsia="宋体" w:cs="宋体"/>
          <w:sz w:val="24"/>
          <w:highlight w:val="yellow"/>
        </w:rPr>
      </w:pPr>
      <w:r>
        <w:rPr>
          <w:rFonts w:hint="eastAsia" w:ascii="宋体" w:hAnsi="宋体" w:eastAsia="宋体" w:cs="宋体"/>
          <w:sz w:val="24"/>
        </w:rPr>
        <w:t>本标准起草组成员单位有：北京大学、杭州海康威视数字技术股份有限公司、上海海思技术有限公司、绍兴市北大信息技术科创中心、鹏城实验室、深圳市大疆创新科技有限公司、中山大学、广州柯维新数码科技有限公司、紫光展锐（上海）科技有限公司。</w:t>
      </w:r>
    </w:p>
    <w:p>
      <w:pPr>
        <w:spacing w:line="360" w:lineRule="auto"/>
        <w:rPr>
          <w:rFonts w:ascii="宋体" w:hAnsi="宋体"/>
          <w:b/>
          <w:bCs/>
          <w:sz w:val="24"/>
        </w:rPr>
      </w:pPr>
      <w:r>
        <w:rPr>
          <w:rFonts w:hint="eastAsia" w:ascii="宋体" w:hAnsi="宋体"/>
          <w:b/>
          <w:bCs/>
          <w:sz w:val="24"/>
        </w:rPr>
        <w:t>3. 编制背景</w:t>
      </w:r>
    </w:p>
    <w:p>
      <w:pPr>
        <w:pStyle w:val="9"/>
        <w:framePr w:w="0" w:hRule="auto" w:wrap="auto" w:vAnchor="margin" w:hAnchor="text" w:xAlign="left" w:yAlign="inline"/>
        <w:tabs>
          <w:tab w:val="left" w:pos="0"/>
        </w:tabs>
        <w:spacing w:line="360" w:lineRule="auto"/>
        <w:ind w:firstLine="424" w:firstLineChars="177"/>
        <w:jc w:val="both"/>
        <w:rPr>
          <w:rFonts w:ascii="宋体" w:hAnsi="宋体" w:eastAsia="宋体" w:cs="宋体"/>
          <w:sz w:val="24"/>
        </w:rPr>
      </w:pPr>
      <w:r>
        <w:rPr>
          <w:rFonts w:hint="eastAsia" w:ascii="宋体" w:hAnsi="宋体" w:eastAsia="宋体" w:cs="宋体"/>
          <w:sz w:val="24"/>
        </w:rPr>
        <w:t>数字音视频编解码技术标准化工作组（简称</w:t>
      </w:r>
      <w:r>
        <w:rPr>
          <w:rFonts w:ascii="宋体" w:hAnsi="宋体" w:eastAsia="宋体" w:cs="宋体"/>
          <w:sz w:val="24"/>
        </w:rPr>
        <w:t>AVS</w:t>
      </w:r>
      <w:r>
        <w:rPr>
          <w:rFonts w:hint="eastAsia" w:ascii="宋体" w:hAnsi="宋体" w:eastAsia="宋体" w:cs="宋体"/>
          <w:sz w:val="24"/>
        </w:rPr>
        <w:t>工作组）由国家信息产业部科学技术司于</w:t>
      </w:r>
      <w:r>
        <w:rPr>
          <w:rFonts w:ascii="宋体" w:hAnsi="宋体" w:eastAsia="宋体" w:cs="宋体"/>
          <w:sz w:val="24"/>
        </w:rPr>
        <w:t>2002</w:t>
      </w:r>
      <w:r>
        <w:rPr>
          <w:rFonts w:hint="eastAsia" w:ascii="宋体" w:hAnsi="宋体" w:eastAsia="宋体" w:cs="宋体"/>
          <w:sz w:val="24"/>
        </w:rPr>
        <w:t>年</w:t>
      </w:r>
      <w:r>
        <w:rPr>
          <w:rFonts w:ascii="宋体" w:hAnsi="宋体" w:eastAsia="宋体" w:cs="宋体"/>
          <w:sz w:val="24"/>
        </w:rPr>
        <w:t>6</w:t>
      </w:r>
      <w:r>
        <w:rPr>
          <w:rFonts w:hint="eastAsia" w:ascii="宋体" w:hAnsi="宋体" w:eastAsia="宋体" w:cs="宋体"/>
          <w:sz w:val="24"/>
        </w:rPr>
        <w:t>月批准成立。工作组的任务是：面向我国的信息产业需求，联合国内企业和科研机构，制（修）订数字音视频的压缩、解压缩、处理和表示等共性技术标准，为数字音视频设备与系统提供高效经济的编解码技术，服务于高分辨率数字广播、高密度激光数字存储媒体、无线宽带多媒体通讯、互联网宽带流媒体等重大信息产业应用。自AVS工作组2002年成立以来，至今，已制订了多代视频/图像压缩相关的国家标准。PLC标准的核心是在主观视觉质量没有损伤的前提下将高分辨率、高帧率、高采样精度的视频信号以极低的传输延迟和硬件成本压缩3~6倍。PLC标准和AVS系列编码标准、文字编码标准等一样都是信源编码标准，正如ASCII分别之于英文信息系统，GB-2312、GB-18030之于中文信息系统，或者AVS之于GB/T 20090、GB/T 33475.2-2016，PLC标准是数字音视频系统在高速视频接口和帧存压缩领域的基础标准。</w:t>
      </w:r>
    </w:p>
    <w:p>
      <w:pPr>
        <w:spacing w:line="360" w:lineRule="auto"/>
        <w:rPr>
          <w:rFonts w:ascii="宋体" w:hAnsi="宋体"/>
          <w:b/>
          <w:bCs/>
          <w:sz w:val="24"/>
        </w:rPr>
      </w:pPr>
      <w:r>
        <w:rPr>
          <w:rFonts w:hint="eastAsia" w:ascii="宋体" w:hAnsi="宋体"/>
          <w:b/>
          <w:bCs/>
          <w:sz w:val="24"/>
        </w:rPr>
        <w:t>4. 编制过程</w:t>
      </w:r>
    </w:p>
    <w:p>
      <w:pPr>
        <w:spacing w:line="360" w:lineRule="auto"/>
        <w:ind w:firstLine="480" w:firstLineChars="200"/>
        <w:rPr>
          <w:rFonts w:ascii="宋体" w:hAnsi="宋体"/>
          <w:sz w:val="24"/>
        </w:rPr>
      </w:pPr>
      <w:r>
        <w:rPr>
          <w:rFonts w:hint="eastAsia" w:ascii="宋体" w:hAnsi="宋体"/>
          <w:kern w:val="0"/>
          <w:sz w:val="24"/>
          <w:szCs w:val="22"/>
        </w:rPr>
        <w:t>工作组自2022年8月第78次会议开始，讨论启动感知无损压缩标准的制定工作，要求视频编码支持8K以上超高分辨率、RGB/YUV444/YUV422/YUV420/YUV400等多种格式的视频信号，同时具备良好的硬件实现友好性和极低的编码传输延时。经过对应用需求、潜在创新技术等的详细梳理，以及国际最新感知无损压缩标准发展态势的分析，在经过多次需求分析、审议技术提案后，于2022年12月工作组第79次会议时确定了感知无损压缩的实验平台并组建了标准制定的专家组，随后于2023年1月第79次会议加会时输出了第一份感知无损压缩标准工作组草案（N3292）。之后AVS工作组与感知无损压缩专家组经过了高效工作和封闭开发，共计召开了7次工作组全体会议、7次视频组加会、40次AHG工作组会议，收到并讨论了134项感知无损压缩标准相关提案，最终采纳其中60项提案，形成了此次的征求意见稿</w:t>
      </w:r>
      <w:r>
        <w:rPr>
          <w:rFonts w:ascii="宋体" w:hAnsi="宋体"/>
          <w:sz w:val="24"/>
        </w:rPr>
        <w:t>。</w:t>
      </w:r>
    </w:p>
    <w:p>
      <w:pPr>
        <w:spacing w:line="360" w:lineRule="auto"/>
        <w:rPr>
          <w:rFonts w:ascii="宋体" w:hAnsi="宋体"/>
          <w:b/>
          <w:bCs/>
          <w:sz w:val="24"/>
        </w:rPr>
      </w:pPr>
      <w:r>
        <w:rPr>
          <w:rFonts w:hint="eastAsia" w:ascii="宋体" w:hAnsi="宋体"/>
          <w:b/>
          <w:bCs/>
          <w:sz w:val="24"/>
        </w:rPr>
        <w:t>5. 主要起草人所做的工作</w:t>
      </w:r>
    </w:p>
    <w:p>
      <w:pPr>
        <w:spacing w:line="360" w:lineRule="auto"/>
        <w:ind w:firstLine="480" w:firstLineChars="200"/>
        <w:rPr>
          <w:rFonts w:ascii="宋体" w:hAnsi="宋体"/>
          <w:sz w:val="24"/>
        </w:rPr>
      </w:pPr>
      <w:r>
        <w:rPr>
          <w:rFonts w:hint="eastAsia" w:ascii="宋体" w:hAnsi="宋体"/>
          <w:sz w:val="24"/>
        </w:rPr>
        <w:t>北京大学、</w:t>
      </w:r>
      <w:r>
        <w:rPr>
          <w:rFonts w:hint="eastAsia" w:ascii="宋体" w:hAnsi="宋体" w:cs="宋体"/>
          <w:sz w:val="24"/>
        </w:rPr>
        <w:t>杭州海康威视数字技术股份有限公司、上海海思技术有限公司</w:t>
      </w:r>
      <w:r>
        <w:rPr>
          <w:rFonts w:hint="eastAsia" w:ascii="宋体" w:hAnsi="宋体"/>
          <w:sz w:val="24"/>
        </w:rPr>
        <w:t>：主要负责项目的组织与实施、关键技术的研发与规范、标准的起草、标准的编写、意见的征集与修改、定稿、报批工作。</w:t>
      </w:r>
    </w:p>
    <w:p>
      <w:pPr>
        <w:spacing w:line="360" w:lineRule="auto"/>
        <w:ind w:firstLine="480" w:firstLineChars="200"/>
        <w:rPr>
          <w:rFonts w:ascii="宋体" w:hAnsi="宋体"/>
          <w:sz w:val="24"/>
        </w:rPr>
      </w:pPr>
      <w:r>
        <w:rPr>
          <w:rFonts w:hint="eastAsia" w:ascii="宋体" w:hAnsi="宋体"/>
          <w:sz w:val="24"/>
        </w:rPr>
        <w:t>其他单位：标准技术内容的讨论、意见的征集与修改、标准技术的质量测试、标准的编写等。</w:t>
      </w:r>
    </w:p>
    <w:p>
      <w:pPr>
        <w:pStyle w:val="7"/>
        <w:spacing w:line="360" w:lineRule="auto"/>
        <w:ind w:firstLine="482"/>
        <w:rPr>
          <w:b/>
          <w:sz w:val="24"/>
          <w:szCs w:val="24"/>
        </w:rPr>
      </w:pPr>
      <w:r>
        <w:rPr>
          <w:rFonts w:hint="eastAsia"/>
          <w:b/>
          <w:sz w:val="24"/>
          <w:szCs w:val="24"/>
        </w:rPr>
        <w:t>二、标准编制原则和确定主要内容的论据及解决的主要问题</w:t>
      </w:r>
    </w:p>
    <w:p>
      <w:pPr>
        <w:spacing w:line="360" w:lineRule="auto"/>
        <w:ind w:firstLine="480"/>
        <w:rPr>
          <w:sz w:val="24"/>
        </w:rPr>
      </w:pPr>
      <w:r>
        <w:rPr>
          <w:rFonts w:hint="eastAsia"/>
          <w:sz w:val="24"/>
        </w:rPr>
        <w:t>1.本标准的编制原则</w:t>
      </w:r>
    </w:p>
    <w:p>
      <w:pPr>
        <w:spacing w:line="360" w:lineRule="auto"/>
        <w:ind w:firstLine="480" w:firstLineChars="200"/>
        <w:rPr>
          <w:rFonts w:ascii="宋体" w:hAnsi="宋体"/>
          <w:kern w:val="0"/>
          <w:sz w:val="24"/>
          <w:szCs w:val="20"/>
        </w:rPr>
      </w:pPr>
      <w:r>
        <w:rPr>
          <w:rFonts w:hint="eastAsia" w:ascii="宋体" w:hAnsi="宋体"/>
          <w:sz w:val="24"/>
        </w:rPr>
        <w:t>PLC标准是为了适应高速视频传输接口、帧存压缩等多种感知无损压缩应用中对图像和视频高效压缩技术的需要而制定的，目标是在达到有效视频信号压缩的同时保持尽可能低的硬件实现复杂度。PLC标准是以我国科研机构和重点企业为首、引领全球信息技术领域有影响力企业共同集体创新而成。为了形成优化的技术方案，工作组视频专题组根据标准的实际应用设定了详细的评估条件和测试方法，收集了反映各种典型情况的测试序列，技术评估的基本依据是综合考虑提案对编码效率的贡献、实现复杂度和知识产权情况，这些原则与手段为PLC视频标准的技术先进性和妥善解决知识产权问题奠定了坚实基础</w:t>
      </w:r>
      <w:r>
        <w:rPr>
          <w:rFonts w:hint="eastAsia" w:ascii="宋体" w:hAnsi="宋体"/>
          <w:kern w:val="0"/>
          <w:sz w:val="24"/>
          <w:szCs w:val="20"/>
        </w:rPr>
        <w:t>。</w:t>
      </w:r>
    </w:p>
    <w:p>
      <w:pPr>
        <w:numPr>
          <w:ilvl w:val="0"/>
          <w:numId w:val="1"/>
        </w:numPr>
        <w:spacing w:line="360" w:lineRule="auto"/>
        <w:ind w:firstLine="480"/>
        <w:rPr>
          <w:sz w:val="24"/>
        </w:rPr>
      </w:pPr>
      <w:r>
        <w:rPr>
          <w:rFonts w:hint="eastAsia"/>
          <w:sz w:val="24"/>
        </w:rPr>
        <w:t>确定主要内容的论据</w:t>
      </w:r>
    </w:p>
    <w:p>
      <w:pPr>
        <w:spacing w:line="360" w:lineRule="auto"/>
        <w:ind w:firstLine="484" w:firstLineChars="202"/>
        <w:rPr>
          <w:rFonts w:ascii="Times New Roman" w:hAnsi="Times New Roman"/>
          <w:sz w:val="24"/>
        </w:rPr>
      </w:pPr>
      <w:r>
        <w:rPr>
          <w:rFonts w:hint="eastAsia" w:ascii="Times New Roman" w:hAnsi="Times New Roman"/>
          <w:sz w:val="24"/>
        </w:rPr>
        <w:t>本标准是经过多次内部研讨，以科学严谨的态度面对征集意见，对内容进行反复商议和修改，从而逐渐优化形成的。在2</w:t>
      </w:r>
      <w:r>
        <w:rPr>
          <w:rFonts w:ascii="Times New Roman" w:hAnsi="Times New Roman"/>
          <w:sz w:val="24"/>
        </w:rPr>
        <w:t>022</w:t>
      </w:r>
      <w:r>
        <w:rPr>
          <w:rFonts w:hint="eastAsia" w:ascii="Times New Roman" w:hAnsi="Times New Roman"/>
          <w:sz w:val="24"/>
        </w:rPr>
        <w:t>年召开的第一次线上专题研讨会上，研究了标准的初步制定计划，讨论了国际有关标准的实施现状，计划了PLC标准的核心需求与关键技术，经过一系列的讨论和研究，达成了PLC标准的研究技术路线；在随后召开的数十次封闭专家组内部研讨会上，研究了标准编制的核心技术框架，研究了PLC标准与其他相关标准感知损伤程度的判定依据，研究了标准制定的若干关键技术与核心算法，讨论了标准存在的技术和协调性问题，经过专家的交叉检查与讨论，最后达成了标准在内容与技术路线上的一致性。</w:t>
      </w:r>
    </w:p>
    <w:p>
      <w:pPr>
        <w:pStyle w:val="7"/>
        <w:spacing w:line="360" w:lineRule="auto"/>
        <w:ind w:firstLine="0" w:firstLineChars="0"/>
        <w:rPr>
          <w:rFonts w:hAnsi="宋体"/>
          <w:b/>
          <w:bCs/>
          <w:color w:val="000000"/>
          <w:sz w:val="24"/>
          <w:szCs w:val="24"/>
        </w:rPr>
      </w:pPr>
      <w:r>
        <w:rPr>
          <w:rFonts w:hint="eastAsia" w:hAnsi="宋体"/>
          <w:b/>
          <w:bCs/>
          <w:color w:val="000000"/>
          <w:sz w:val="24"/>
          <w:szCs w:val="24"/>
        </w:rPr>
        <w:t>3.解决的主要问题</w:t>
      </w:r>
    </w:p>
    <w:p>
      <w:pPr>
        <w:spacing w:line="360" w:lineRule="auto"/>
        <w:ind w:firstLine="482"/>
        <w:rPr>
          <w:rFonts w:hAnsi="宋体"/>
          <w:sz w:val="24"/>
        </w:rPr>
      </w:pPr>
      <w:r>
        <w:rPr>
          <w:rFonts w:hint="eastAsia" w:hAnsi="宋体"/>
          <w:sz w:val="24"/>
        </w:rPr>
        <w:t>感知无损视频编码采用了与传统混合视频编码框架相似的流水框架，区别在于增加了码率控制而去除了变换，即将一幅图像首先划分成编码块，每个编码块先划分成预测块进行预测、量化，最后量化后的残差与所有编码模式信息一起进行无损的熵编码进而生成码流。与国际已有的DSC视频编码标准的不同之处在于PLC采用了更灵活多样的预测技术、更符合人眼特性的量化技术以及更加灵活稳定的码率控制算法。</w:t>
      </w:r>
    </w:p>
    <w:p>
      <w:pPr>
        <w:pStyle w:val="7"/>
        <w:spacing w:line="360" w:lineRule="auto"/>
        <w:ind w:firstLine="0" w:firstLineChars="0"/>
        <w:rPr>
          <w:rFonts w:hAnsi="宋体"/>
          <w:b/>
          <w:bCs/>
          <w:color w:val="000000"/>
          <w:sz w:val="24"/>
          <w:szCs w:val="24"/>
        </w:rPr>
      </w:pPr>
      <w:r>
        <w:rPr>
          <w:rFonts w:hint="eastAsia" w:hAnsi="宋体"/>
          <w:b/>
          <w:bCs/>
          <w:color w:val="000000"/>
          <w:sz w:val="24"/>
          <w:szCs w:val="24"/>
        </w:rPr>
        <w:t>4、有关技术问题说明</w:t>
      </w:r>
    </w:p>
    <w:p>
      <w:pPr>
        <w:spacing w:line="360" w:lineRule="auto"/>
        <w:ind w:firstLine="482"/>
        <w:rPr>
          <w:rFonts w:ascii="Times New Roman" w:hAnsi="Times New Roman"/>
          <w:sz w:val="24"/>
        </w:rPr>
      </w:pPr>
      <w:r>
        <w:rPr>
          <w:rFonts w:hint="eastAsia" w:hAnsi="宋体"/>
          <w:sz w:val="24"/>
        </w:rPr>
        <w:t xml:space="preserve">   </w:t>
      </w:r>
      <w:r>
        <w:rPr>
          <w:rFonts w:hint="eastAsia" w:ascii="Times New Roman" w:hAnsi="Times New Roman"/>
          <w:sz w:val="24"/>
        </w:rPr>
        <w:t xml:space="preserve"> PLC的特色技术包括：</w:t>
      </w:r>
    </w:p>
    <w:p>
      <w:pPr>
        <w:ind w:firstLine="420"/>
        <w:rPr>
          <w:rFonts w:ascii="Times New Roman" w:hAnsi="Times New Roman" w:cs="Arial"/>
          <w:sz w:val="24"/>
        </w:rPr>
      </w:pPr>
    </w:p>
    <w:p>
      <w:pPr>
        <w:numPr>
          <w:ilvl w:val="0"/>
          <w:numId w:val="2"/>
        </w:numPr>
        <w:adjustRightInd/>
        <w:spacing w:line="240" w:lineRule="auto"/>
        <w:rPr>
          <w:rFonts w:ascii="Times New Roman" w:hAnsi="Times New Roman"/>
          <w:b/>
          <w:sz w:val="24"/>
        </w:rPr>
      </w:pPr>
      <w:r>
        <w:rPr>
          <w:rFonts w:hint="eastAsia" w:ascii="Times New Roman" w:hAnsi="Times New Roman"/>
          <w:b/>
          <w:sz w:val="24"/>
        </w:rPr>
        <w:t>更灵活多样的预测技术</w:t>
      </w:r>
    </w:p>
    <w:p>
      <w:pPr>
        <w:ind w:firstLine="420"/>
        <w:rPr>
          <w:rFonts w:ascii="Times New Roman" w:hAnsi="Times New Roman" w:cs="Arial"/>
          <w:sz w:val="24"/>
        </w:rPr>
      </w:pPr>
      <w:r>
        <w:rPr>
          <w:rFonts w:hint="eastAsia" w:ascii="Times New Roman" w:hAnsi="Times New Roman" w:cs="Arial"/>
          <w:sz w:val="24"/>
        </w:rPr>
        <w:t>PLC标准支持编码单元进行三种基础的预测方法，分别为：点预测模式、普通帧内预测模式和块复制模式。具体来说，PLC按照不同的通道类型和采样比将编码基本单元设置为了最大1</w:t>
      </w:r>
      <w:r>
        <w:rPr>
          <w:rFonts w:ascii="Times New Roman" w:hAnsi="Times New Roman" w:cs="Arial"/>
          <w:sz w:val="24"/>
        </w:rPr>
        <w:t>6</w:t>
      </w:r>
      <w:r>
        <w:rPr>
          <w:rFonts w:hint="eastAsia" w:ascii="Times New Roman" w:hAnsi="Times New Roman" w:cs="Arial"/>
          <w:sz w:val="24"/>
        </w:rPr>
        <w:t>x</w:t>
      </w:r>
      <w:r>
        <w:rPr>
          <w:rFonts w:ascii="Times New Roman" w:hAnsi="Times New Roman" w:cs="Arial"/>
          <w:sz w:val="24"/>
        </w:rPr>
        <w:t>2</w:t>
      </w:r>
      <w:r>
        <w:rPr>
          <w:rFonts w:hint="eastAsia" w:ascii="Times New Roman" w:hAnsi="Times New Roman" w:cs="Arial"/>
          <w:sz w:val="24"/>
        </w:rPr>
        <w:t>的像素块，对每个像素组会逐通道遍历所有合法的点预测模式和普通帧内预测模式，然后将通道最优的预测结果与三通道共同预测的块复制模式进行对比，最终选择出最佳的预测模式。其中：</w:t>
      </w:r>
    </w:p>
    <w:p>
      <w:pPr>
        <w:pStyle w:val="12"/>
        <w:numPr>
          <w:ilvl w:val="1"/>
          <w:numId w:val="2"/>
        </w:numPr>
        <w:rPr>
          <w:rFonts w:eastAsia="宋体"/>
          <w:b/>
          <w:sz w:val="24"/>
          <w:szCs w:val="21"/>
        </w:rPr>
      </w:pPr>
      <w:r>
        <w:rPr>
          <w:rFonts w:hint="eastAsia" w:eastAsia="宋体"/>
          <w:b/>
          <w:sz w:val="24"/>
          <w:szCs w:val="21"/>
        </w:rPr>
        <w:t>点预测模式</w:t>
      </w:r>
    </w:p>
    <w:p>
      <w:pPr>
        <w:spacing w:line="240" w:lineRule="auto"/>
        <w:jc w:val="center"/>
        <w:rPr>
          <w:rFonts w:ascii="Times New Roman" w:hAnsi="Times New Roman"/>
          <w:sz w:val="24"/>
          <w:lang w:val="en-CA"/>
        </w:rPr>
      </w:pPr>
      <w:r>
        <w:rPr>
          <w:rFonts w:ascii="Times New Roman" w:hAnsi="Times New Roman"/>
          <w:sz w:val="24"/>
          <w:lang w:val="en-CA"/>
        </w:rPr>
        <w:object>
          <v:shape id="_x0000_i1025" o:spt="75" type="#_x0000_t75" style="height:160.45pt;width:237.1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2"/>
        <w:ind w:left="420"/>
        <w:rPr>
          <w:sz w:val="24"/>
        </w:rPr>
      </w:pPr>
      <w:bookmarkStart w:id="1" w:name="_Ref97904499"/>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2</w:t>
      </w:r>
      <w:r>
        <w:rPr>
          <w:sz w:val="24"/>
        </w:rPr>
        <w:fldChar w:fldCharType="end"/>
      </w:r>
      <w:bookmarkEnd w:id="1"/>
      <w:r>
        <w:rPr>
          <w:sz w:val="24"/>
        </w:rPr>
        <w:t>点预测模式</w:t>
      </w:r>
    </w:p>
    <w:p>
      <w:pPr>
        <w:spacing w:before="120" w:after="120"/>
        <w:ind w:firstLine="480" w:firstLineChars="200"/>
        <w:rPr>
          <w:rFonts w:ascii="Times New Roman" w:hAnsi="Times New Roman"/>
          <w:b/>
          <w:sz w:val="24"/>
        </w:rPr>
      </w:pPr>
      <w:r>
        <w:rPr>
          <w:rFonts w:hint="eastAsia" w:ascii="Times New Roman" w:hAnsi="Times New Roman" w:cs="Arial"/>
          <w:sz w:val="24"/>
        </w:rPr>
        <w:t>点预测模式如</w:t>
      </w:r>
      <w:r>
        <w:rPr>
          <w:rFonts w:ascii="Times New Roman" w:hAnsi="Times New Roman" w:cs="Arial"/>
          <w:sz w:val="24"/>
        </w:rPr>
        <w:fldChar w:fldCharType="begin"/>
      </w:r>
      <w:r>
        <w:rPr>
          <w:rFonts w:ascii="Times New Roman" w:hAnsi="Times New Roman" w:cs="Arial"/>
          <w:sz w:val="24"/>
        </w:rPr>
        <w:instrText xml:space="preserve"> </w:instrText>
      </w:r>
      <w:r>
        <w:rPr>
          <w:rFonts w:hint="eastAsia" w:ascii="Times New Roman" w:hAnsi="Times New Roman" w:cs="Arial"/>
          <w:sz w:val="24"/>
        </w:rPr>
        <w:instrText xml:space="preserve">REF _Ref97904499 \h</w:instrText>
      </w:r>
      <w:r>
        <w:rPr>
          <w:rFonts w:ascii="Times New Roman" w:hAnsi="Times New Roman" w:cs="Arial"/>
          <w:sz w:val="24"/>
        </w:rPr>
        <w:instrText xml:space="preserve">  \* MERGEFORMAT </w:instrText>
      </w:r>
      <w:r>
        <w:rPr>
          <w:rFonts w:ascii="Times New Roman" w:hAnsi="Times New Roman" w:cs="Arial"/>
          <w:sz w:val="24"/>
        </w:rPr>
        <w:fldChar w:fldCharType="separate"/>
      </w:r>
      <w:r>
        <w:rPr>
          <w:rFonts w:hint="eastAsia" w:ascii="Times New Roman" w:hAnsi="Times New Roman" w:cs="Arial"/>
          <w:sz w:val="24"/>
        </w:rPr>
        <w:t xml:space="preserve">图 </w:t>
      </w:r>
      <w:r>
        <w:rPr>
          <w:rFonts w:ascii="Times New Roman" w:hAnsi="Times New Roman" w:cs="Arial"/>
          <w:sz w:val="24"/>
        </w:rPr>
        <w:t>2</w:t>
      </w:r>
      <w:r>
        <w:rPr>
          <w:rFonts w:ascii="Times New Roman" w:hAnsi="Times New Roman" w:cs="Arial"/>
          <w:sz w:val="24"/>
        </w:rPr>
        <w:fldChar w:fldCharType="end"/>
      </w:r>
      <w:r>
        <w:rPr>
          <w:rFonts w:ascii="Times New Roman" w:hAnsi="Times New Roman" w:cs="Arial"/>
          <w:sz w:val="24"/>
        </w:rPr>
        <w:t>所示</w:t>
      </w:r>
      <w:r>
        <w:rPr>
          <w:rFonts w:hint="eastAsia" w:ascii="Times New Roman" w:hAnsi="Times New Roman" w:cs="Arial"/>
          <w:sz w:val="24"/>
        </w:rPr>
        <w:t>，在每个像素块中串行参考已重建的编码像素，提供相比于传统编码预测模式更精细的重建效果，其中：</w:t>
      </w:r>
      <w:r>
        <w:rPr>
          <w:rFonts w:ascii="Times New Roman" w:hAnsi="Times New Roman" w:cs="Arial"/>
          <w:sz w:val="24"/>
        </w:rPr>
        <w:t>“</w:t>
      </w:r>
      <w:r>
        <w:rPr>
          <w:rFonts w:hint="eastAsia" w:ascii="Times New Roman" w:hAnsi="Times New Roman" w:cs="Arial"/>
          <w:sz w:val="24"/>
        </w:rPr>
        <w:t>≡</w:t>
      </w:r>
      <w:r>
        <w:rPr>
          <w:rFonts w:ascii="Times New Roman" w:hAnsi="Times New Roman" w:cs="Arial"/>
          <w:sz w:val="24"/>
        </w:rPr>
        <w:t>”</w:t>
      </w:r>
      <w:r>
        <w:rPr>
          <w:rFonts w:hint="eastAsia" w:ascii="Times New Roman" w:hAnsi="Times New Roman" w:cs="Arial"/>
          <w:sz w:val="24"/>
        </w:rPr>
        <w:t>表示采用左右两侧像素的重建值求平均得到当前像素的预测值；</w:t>
      </w:r>
      <w:r>
        <w:rPr>
          <w:rFonts w:ascii="Times New Roman" w:hAnsi="Times New Roman" w:cs="Arial"/>
          <w:sz w:val="24"/>
        </w:rPr>
        <w:t>“</w:t>
      </w:r>
      <w:r>
        <w:rPr>
          <w:rFonts w:hint="eastAsia" w:ascii="Times New Roman" w:hAnsi="Times New Roman" w:cs="Arial"/>
          <w:sz w:val="24"/>
        </w:rPr>
        <w:t>&gt;</w:t>
      </w:r>
      <w:r>
        <w:rPr>
          <w:rFonts w:ascii="Times New Roman" w:hAnsi="Times New Roman" w:cs="Arial"/>
          <w:sz w:val="24"/>
        </w:rPr>
        <w:t xml:space="preserve">” </w:t>
      </w:r>
      <w:r>
        <w:rPr>
          <w:rFonts w:hint="eastAsia" w:ascii="Times New Roman" w:hAnsi="Times New Roman" w:cs="Arial"/>
          <w:sz w:val="24"/>
        </w:rPr>
        <w:t>表示直接采用左侧像素的重建值作为当前像素的预测值；</w:t>
      </w:r>
      <w:r>
        <w:rPr>
          <w:rFonts w:ascii="Times New Roman" w:hAnsi="Times New Roman" w:cs="Arial"/>
          <w:sz w:val="24"/>
        </w:rPr>
        <w:t>“</w:t>
      </w:r>
      <w:r>
        <w:rPr>
          <w:rFonts w:hint="eastAsia" w:ascii="Times New Roman" w:hAnsi="Times New Roman" w:cs="Arial"/>
          <w:sz w:val="24"/>
        </w:rPr>
        <w:t>∨</w:t>
      </w:r>
      <w:r>
        <w:rPr>
          <w:rFonts w:ascii="Times New Roman" w:hAnsi="Times New Roman" w:cs="Arial"/>
          <w:sz w:val="24"/>
        </w:rPr>
        <w:t>”</w:t>
      </w:r>
      <w:r>
        <w:rPr>
          <w:rFonts w:hint="eastAsia" w:ascii="Times New Roman" w:hAnsi="Times New Roman" w:cs="Arial"/>
          <w:sz w:val="24"/>
        </w:rPr>
        <w:t>表示直接采用上侧像素的重建值作为当前像素的预测值。</w:t>
      </w:r>
    </w:p>
    <w:p>
      <w:pPr>
        <w:pStyle w:val="12"/>
        <w:numPr>
          <w:ilvl w:val="1"/>
          <w:numId w:val="2"/>
        </w:numPr>
        <w:rPr>
          <w:rFonts w:eastAsia="宋体"/>
          <w:b/>
          <w:sz w:val="24"/>
          <w:szCs w:val="21"/>
        </w:rPr>
      </w:pPr>
      <w:r>
        <w:rPr>
          <w:rFonts w:hint="eastAsia" w:eastAsia="宋体"/>
          <w:b/>
          <w:sz w:val="24"/>
          <w:szCs w:val="21"/>
        </w:rPr>
        <w:t>普通帧内预测模式</w:t>
      </w:r>
    </w:p>
    <w:p>
      <w:pPr>
        <w:spacing w:before="120" w:after="120"/>
        <w:ind w:firstLine="480" w:firstLineChars="200"/>
        <w:rPr>
          <w:rFonts w:ascii="Times New Roman" w:hAnsi="Times New Roman" w:cs="Arial"/>
          <w:sz w:val="24"/>
        </w:rPr>
      </w:pPr>
      <w:r>
        <w:rPr>
          <w:rFonts w:hint="eastAsia" w:ascii="Times New Roman" w:hAnsi="Times New Roman" w:cs="Arial"/>
          <w:sz w:val="24"/>
        </w:rPr>
        <w:t>对于16x2像素块</w:t>
      </w:r>
      <w:r>
        <w:rPr>
          <w:rFonts w:ascii="Times New Roman" w:hAnsi="Times New Roman" w:cs="Arial"/>
          <w:sz w:val="24"/>
        </w:rPr>
        <w:t>，</w:t>
      </w:r>
      <w:r>
        <w:rPr>
          <w:rFonts w:hint="eastAsia" w:ascii="Times New Roman" w:hAnsi="Times New Roman" w:cs="Arial"/>
          <w:sz w:val="24"/>
        </w:rPr>
        <w:t>普通</w:t>
      </w:r>
      <w:r>
        <w:rPr>
          <w:rFonts w:ascii="Times New Roman" w:hAnsi="Times New Roman" w:cs="Arial"/>
          <w:sz w:val="24"/>
        </w:rPr>
        <w:t>帧内预测模式有</w:t>
      </w:r>
      <w:r>
        <w:rPr>
          <w:rFonts w:hint="eastAsia" w:ascii="Times New Roman" w:hAnsi="Times New Roman" w:cs="Arial"/>
          <w:sz w:val="24"/>
        </w:rPr>
        <w:t>7种</w:t>
      </w:r>
      <w:r>
        <w:rPr>
          <w:rFonts w:ascii="Times New Roman" w:hAnsi="Times New Roman" w:cs="Arial"/>
          <w:sz w:val="24"/>
        </w:rPr>
        <w:t>，包括</w:t>
      </w:r>
      <w:r>
        <w:rPr>
          <w:rFonts w:hint="eastAsia" w:ascii="Times New Roman" w:hAnsi="Times New Roman" w:cs="Arial"/>
          <w:sz w:val="24"/>
        </w:rPr>
        <w:t>DC</w:t>
      </w:r>
      <w:r>
        <w:rPr>
          <w:rFonts w:ascii="Times New Roman" w:hAnsi="Times New Roman" w:cs="Arial"/>
          <w:sz w:val="24"/>
        </w:rPr>
        <w:t>模式和</w:t>
      </w:r>
      <w:r>
        <w:rPr>
          <w:rFonts w:hint="eastAsia" w:ascii="Times New Roman" w:hAnsi="Times New Roman" w:cs="Arial"/>
          <w:sz w:val="24"/>
        </w:rPr>
        <w:t>6种</w:t>
      </w:r>
      <w:r>
        <w:rPr>
          <w:rFonts w:ascii="Times New Roman" w:hAnsi="Times New Roman" w:cs="Arial"/>
          <w:sz w:val="24"/>
        </w:rPr>
        <w:t>角度模式，如</w:t>
      </w:r>
      <w:r>
        <w:rPr>
          <w:rFonts w:ascii="Times New Roman" w:hAnsi="Times New Roman" w:cs="Arial"/>
          <w:sz w:val="24"/>
        </w:rPr>
        <w:fldChar w:fldCharType="begin"/>
      </w:r>
      <w:r>
        <w:rPr>
          <w:rFonts w:ascii="Times New Roman" w:hAnsi="Times New Roman" w:cs="Arial"/>
          <w:sz w:val="24"/>
        </w:rPr>
        <w:instrText xml:space="preserve"> REF _Ref97906266 \h  \* MERGEFORMAT </w:instrText>
      </w:r>
      <w:r>
        <w:rPr>
          <w:rFonts w:ascii="Times New Roman" w:hAnsi="Times New Roman" w:cs="Arial"/>
          <w:sz w:val="24"/>
        </w:rPr>
        <w:fldChar w:fldCharType="separate"/>
      </w:r>
      <w:r>
        <w:rPr>
          <w:rFonts w:hint="eastAsia" w:ascii="Times New Roman" w:hAnsi="Times New Roman" w:cs="Arial"/>
          <w:sz w:val="24"/>
        </w:rPr>
        <w:t xml:space="preserve">图 </w:t>
      </w:r>
      <w:r>
        <w:rPr>
          <w:rFonts w:ascii="Times New Roman" w:hAnsi="Times New Roman" w:cs="Arial"/>
          <w:sz w:val="24"/>
        </w:rPr>
        <w:t>3</w:t>
      </w:r>
      <w:r>
        <w:rPr>
          <w:rFonts w:ascii="Times New Roman" w:hAnsi="Times New Roman" w:cs="Arial"/>
          <w:sz w:val="24"/>
        </w:rPr>
        <w:fldChar w:fldCharType="end"/>
      </w:r>
      <w:r>
        <w:rPr>
          <w:rFonts w:ascii="Times New Roman" w:hAnsi="Times New Roman" w:cs="Arial"/>
          <w:sz w:val="24"/>
        </w:rPr>
        <w:t>所示。</w:t>
      </w:r>
    </w:p>
    <w:p>
      <w:pPr>
        <w:spacing w:line="240" w:lineRule="auto"/>
        <w:jc w:val="center"/>
        <w:rPr>
          <w:rFonts w:ascii="Times New Roman" w:hAnsi="Times New Roman"/>
          <w:sz w:val="24"/>
          <w:lang w:val="en-CA"/>
        </w:rPr>
      </w:pPr>
      <w:r>
        <w:rPr>
          <w:rFonts w:ascii="Times New Roman" w:hAnsi="Times New Roman"/>
          <w:sz w:val="24"/>
          <w:lang w:val="en-CA"/>
        </w:rPr>
        <w:object>
          <v:shape id="_x0000_i1026" o:spt="75" type="#_x0000_t75" style="height:232.45pt;width:408.8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2"/>
        <w:ind w:left="420"/>
        <w:rPr>
          <w:sz w:val="24"/>
        </w:rPr>
      </w:pPr>
      <w:bookmarkStart w:id="2" w:name="_Ref97906266"/>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3</w:t>
      </w:r>
      <w:r>
        <w:rPr>
          <w:sz w:val="24"/>
        </w:rPr>
        <w:fldChar w:fldCharType="end"/>
      </w:r>
      <w:bookmarkEnd w:id="2"/>
      <w:r>
        <w:rPr>
          <w:sz w:val="24"/>
        </w:rPr>
        <w:t xml:space="preserve"> 16x2</w:t>
      </w:r>
      <w:r>
        <w:rPr>
          <w:rFonts w:hint="eastAsia"/>
          <w:sz w:val="24"/>
        </w:rPr>
        <w:t>像素块普通</w:t>
      </w:r>
      <w:r>
        <w:rPr>
          <w:sz w:val="24"/>
        </w:rPr>
        <w:t>帧内预测</w:t>
      </w:r>
      <w:r>
        <w:rPr>
          <w:rFonts w:hint="eastAsia"/>
          <w:sz w:val="24"/>
        </w:rPr>
        <w:t>模式（其中XY表示</w:t>
      </w:r>
      <w:r>
        <w:rPr>
          <w:sz w:val="24"/>
        </w:rPr>
        <w:t>X和Y</w:t>
      </w:r>
      <w:r>
        <w:rPr>
          <w:rFonts w:hint="eastAsia"/>
          <w:sz w:val="24"/>
        </w:rPr>
        <w:t>的</w:t>
      </w:r>
      <w:r>
        <w:rPr>
          <w:sz w:val="24"/>
        </w:rPr>
        <w:t>像素</w:t>
      </w:r>
      <w:r>
        <w:rPr>
          <w:rFonts w:hint="eastAsia"/>
          <w:sz w:val="24"/>
        </w:rPr>
        <w:t>平均</w:t>
      </w:r>
      <w:r>
        <w:rPr>
          <w:sz w:val="24"/>
        </w:rPr>
        <w:t>值</w:t>
      </w:r>
      <w:r>
        <w:rPr>
          <w:rFonts w:hint="eastAsia"/>
          <w:sz w:val="24"/>
        </w:rPr>
        <w:t>）</w:t>
      </w:r>
    </w:p>
    <w:p>
      <w:pPr>
        <w:spacing w:before="120" w:after="120"/>
        <w:ind w:firstLine="480" w:firstLineChars="200"/>
        <w:rPr>
          <w:rFonts w:ascii="Times New Roman" w:hAnsi="Times New Roman" w:cs="Arial"/>
          <w:sz w:val="24"/>
        </w:rPr>
      </w:pPr>
      <w:r>
        <w:rPr>
          <w:rFonts w:hint="eastAsia" w:ascii="Times New Roman" w:hAnsi="Times New Roman" w:cs="Arial"/>
          <w:sz w:val="24"/>
        </w:rPr>
        <w:t>对于8x2和8</w:t>
      </w:r>
      <w:r>
        <w:rPr>
          <w:rFonts w:ascii="Times New Roman" w:hAnsi="Times New Roman" w:cs="Arial"/>
          <w:sz w:val="24"/>
        </w:rPr>
        <w:t>x1</w:t>
      </w:r>
      <w:r>
        <w:rPr>
          <w:rFonts w:hint="eastAsia" w:ascii="Times New Roman" w:hAnsi="Times New Roman" w:cs="Arial"/>
          <w:sz w:val="24"/>
        </w:rPr>
        <w:t>像素块</w:t>
      </w:r>
      <w:r>
        <w:rPr>
          <w:rFonts w:ascii="Times New Roman" w:hAnsi="Times New Roman" w:cs="Arial"/>
          <w:sz w:val="24"/>
        </w:rPr>
        <w:t>，</w:t>
      </w:r>
      <w:r>
        <w:rPr>
          <w:rFonts w:hint="eastAsia" w:ascii="Times New Roman" w:hAnsi="Times New Roman" w:cs="Arial"/>
          <w:sz w:val="24"/>
        </w:rPr>
        <w:t>普通</w:t>
      </w:r>
      <w:r>
        <w:rPr>
          <w:rFonts w:ascii="Times New Roman" w:hAnsi="Times New Roman" w:cs="Arial"/>
          <w:sz w:val="24"/>
        </w:rPr>
        <w:t>帧内预测模式</w:t>
      </w:r>
      <w:r>
        <w:rPr>
          <w:rFonts w:hint="eastAsia" w:ascii="Times New Roman" w:hAnsi="Times New Roman" w:cs="Arial"/>
          <w:sz w:val="24"/>
        </w:rPr>
        <w:t>各有</w:t>
      </w:r>
      <w:r>
        <w:rPr>
          <w:rFonts w:ascii="Times New Roman" w:hAnsi="Times New Roman" w:cs="Arial"/>
          <w:sz w:val="24"/>
        </w:rPr>
        <w:t>1</w:t>
      </w:r>
      <w:r>
        <w:rPr>
          <w:rFonts w:hint="eastAsia" w:ascii="Times New Roman" w:hAnsi="Times New Roman" w:cs="Arial"/>
          <w:sz w:val="24"/>
        </w:rPr>
        <w:t>种，如</w:t>
      </w:r>
      <w:r>
        <w:rPr>
          <w:rFonts w:ascii="Times New Roman" w:hAnsi="Times New Roman" w:cs="Arial"/>
          <w:sz w:val="24"/>
        </w:rPr>
        <w:fldChar w:fldCharType="begin"/>
      </w:r>
      <w:r>
        <w:rPr>
          <w:rFonts w:ascii="Times New Roman" w:hAnsi="Times New Roman" w:cs="Arial"/>
          <w:sz w:val="24"/>
        </w:rPr>
        <w:instrText xml:space="preserve"> </w:instrText>
      </w:r>
      <w:r>
        <w:rPr>
          <w:rFonts w:hint="eastAsia" w:ascii="Times New Roman" w:hAnsi="Times New Roman" w:cs="Arial"/>
          <w:sz w:val="24"/>
        </w:rPr>
        <w:instrText xml:space="preserve">REF _Ref128748467 \h</w:instrText>
      </w:r>
      <w:r>
        <w:rPr>
          <w:rFonts w:ascii="Times New Roman" w:hAnsi="Times New Roman" w:cs="Arial"/>
          <w:sz w:val="24"/>
        </w:rPr>
        <w:instrText xml:space="preserve">  \* MERGEFORMAT </w:instrText>
      </w:r>
      <w:r>
        <w:rPr>
          <w:rFonts w:ascii="Times New Roman" w:hAnsi="Times New Roman" w:cs="Arial"/>
          <w:sz w:val="24"/>
        </w:rPr>
        <w:fldChar w:fldCharType="separate"/>
      </w:r>
      <w:r>
        <w:rPr>
          <w:rFonts w:hint="eastAsia" w:ascii="Times New Roman" w:hAnsi="Times New Roman" w:cs="Arial"/>
          <w:sz w:val="24"/>
        </w:rPr>
        <w:t xml:space="preserve">图 </w:t>
      </w:r>
      <w:r>
        <w:rPr>
          <w:rFonts w:ascii="Times New Roman" w:hAnsi="Times New Roman" w:cs="Arial"/>
          <w:sz w:val="24"/>
        </w:rPr>
        <w:t>4</w:t>
      </w:r>
      <w:r>
        <w:rPr>
          <w:rFonts w:ascii="Times New Roman" w:hAnsi="Times New Roman" w:cs="Arial"/>
          <w:sz w:val="24"/>
        </w:rPr>
        <w:fldChar w:fldCharType="end"/>
      </w:r>
      <w:r>
        <w:rPr>
          <w:rFonts w:ascii="Times New Roman" w:hAnsi="Times New Roman" w:cs="Arial"/>
          <w:sz w:val="24"/>
        </w:rPr>
        <w:t>所示。</w:t>
      </w:r>
    </w:p>
    <w:p>
      <w:pPr>
        <w:spacing w:line="240" w:lineRule="auto"/>
        <w:jc w:val="center"/>
        <w:rPr>
          <w:rFonts w:ascii="Times New Roman" w:hAnsi="Times New Roman"/>
          <w:sz w:val="24"/>
          <w:lang w:val="en-CA"/>
        </w:rPr>
      </w:pPr>
      <w:r>
        <w:rPr>
          <w:rFonts w:ascii="Times New Roman" w:hAnsi="Times New Roman"/>
          <w:sz w:val="24"/>
          <w:lang w:val="en-CA"/>
        </w:rPr>
        <w:object>
          <v:shape id="_x0000_i1027" o:spt="75" type="#_x0000_t75" style="height:62.25pt;width:367.7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pStyle w:val="2"/>
        <w:ind w:left="420"/>
        <w:rPr>
          <w:sz w:val="24"/>
        </w:rPr>
      </w:pPr>
      <w:bookmarkStart w:id="3" w:name="_Ref128748467"/>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4</w:t>
      </w:r>
      <w:r>
        <w:rPr>
          <w:sz w:val="24"/>
        </w:rPr>
        <w:fldChar w:fldCharType="end"/>
      </w:r>
      <w:bookmarkEnd w:id="3"/>
      <w:r>
        <w:rPr>
          <w:sz w:val="24"/>
        </w:rPr>
        <w:t xml:space="preserve"> 8x2</w:t>
      </w:r>
      <w:r>
        <w:rPr>
          <w:rFonts w:hint="eastAsia"/>
          <w:sz w:val="24"/>
        </w:rPr>
        <w:t>和</w:t>
      </w:r>
      <w:r>
        <w:rPr>
          <w:sz w:val="24"/>
        </w:rPr>
        <w:t>8x1</w:t>
      </w:r>
      <w:r>
        <w:rPr>
          <w:rFonts w:hint="eastAsia"/>
          <w:sz w:val="24"/>
        </w:rPr>
        <w:t>像素块普通帧内</w:t>
      </w:r>
      <w:r>
        <w:rPr>
          <w:sz w:val="24"/>
        </w:rPr>
        <w:t>预测模式</w:t>
      </w:r>
      <w:r>
        <w:rPr>
          <w:rFonts w:hint="eastAsia"/>
          <w:sz w:val="24"/>
        </w:rPr>
        <w:t>（D</w:t>
      </w:r>
      <w:r>
        <w:rPr>
          <w:sz w:val="24"/>
        </w:rPr>
        <w:t>为上侧</w:t>
      </w:r>
      <w:r>
        <w:rPr>
          <w:rFonts w:hint="eastAsia"/>
          <w:sz w:val="24"/>
        </w:rPr>
        <w:t>8个</w:t>
      </w:r>
      <w:r>
        <w:rPr>
          <w:sz w:val="24"/>
        </w:rPr>
        <w:t>参考</w:t>
      </w:r>
      <w:r>
        <w:rPr>
          <w:rFonts w:hint="eastAsia"/>
          <w:sz w:val="24"/>
        </w:rPr>
        <w:t>像素</w:t>
      </w:r>
      <w:r>
        <w:rPr>
          <w:sz w:val="24"/>
        </w:rPr>
        <w:t>的</w:t>
      </w:r>
      <w:r>
        <w:rPr>
          <w:rFonts w:hint="eastAsia"/>
          <w:sz w:val="24"/>
        </w:rPr>
        <w:t>平</w:t>
      </w:r>
      <w:r>
        <w:rPr>
          <w:sz w:val="24"/>
        </w:rPr>
        <w:t>均值）</w:t>
      </w:r>
    </w:p>
    <w:p>
      <w:pPr>
        <w:numPr>
          <w:ilvl w:val="1"/>
          <w:numId w:val="2"/>
        </w:numPr>
        <w:adjustRightInd/>
        <w:spacing w:line="240" w:lineRule="auto"/>
        <w:rPr>
          <w:rFonts w:ascii="Times New Roman" w:hAnsi="Times New Roman"/>
          <w:b/>
          <w:sz w:val="24"/>
        </w:rPr>
      </w:pPr>
      <w:r>
        <w:rPr>
          <w:rFonts w:hint="eastAsia" w:ascii="Times New Roman" w:hAnsi="Times New Roman"/>
          <w:b/>
          <w:sz w:val="24"/>
        </w:rPr>
        <w:t>块复制帧内预测模式</w:t>
      </w:r>
    </w:p>
    <w:p>
      <w:pPr>
        <w:ind w:firstLine="420"/>
        <w:rPr>
          <w:rFonts w:ascii="Times New Roman" w:hAnsi="Times New Roman" w:cs="Arial"/>
          <w:sz w:val="24"/>
        </w:rPr>
      </w:pPr>
      <w:r>
        <w:rPr>
          <w:rFonts w:hint="eastAsia" w:ascii="Times New Roman" w:hAnsi="Times New Roman" w:cs="Arial"/>
          <w:sz w:val="24"/>
        </w:rPr>
        <w:t>块复制帧内预测模式通过将编码单元整块复制的方法大幅提升了对规律性纹理编码效率，通过对编码区域的判定，PLC支持对搜索区域的灵活变化和对平坦区域的自适应判别。</w:t>
      </w:r>
    </w:p>
    <w:p>
      <w:pPr>
        <w:spacing w:line="240" w:lineRule="auto"/>
        <w:jc w:val="center"/>
        <w:rPr>
          <w:rFonts w:ascii="Times New Roman" w:hAnsi="Times New Roman"/>
          <w:sz w:val="24"/>
          <w:lang w:val="en-CA"/>
        </w:rPr>
      </w:pPr>
      <w:r>
        <w:rPr>
          <w:rFonts w:ascii="Times New Roman" w:hAnsi="Times New Roman"/>
          <w:sz w:val="24"/>
          <w:lang w:val="en-CA"/>
        </w:rPr>
        <w:object>
          <v:shape id="_x0000_i1028" o:spt="75" type="#_x0000_t75" style="height:85.35pt;width:399.6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pStyle w:val="2"/>
        <w:ind w:left="420"/>
        <w:rPr>
          <w:sz w:val="24"/>
        </w:rPr>
      </w:pPr>
      <w:bookmarkStart w:id="4" w:name="_Ref97910599"/>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5</w:t>
      </w:r>
      <w:r>
        <w:rPr>
          <w:sz w:val="24"/>
        </w:rPr>
        <w:fldChar w:fldCharType="end"/>
      </w:r>
      <w:bookmarkEnd w:id="4"/>
      <w:r>
        <w:rPr>
          <w:sz w:val="24"/>
        </w:rPr>
        <w:t xml:space="preserve"> </w:t>
      </w:r>
      <w:r>
        <w:rPr>
          <w:rFonts w:hint="eastAsia"/>
          <w:sz w:val="24"/>
        </w:rPr>
        <w:t>块复制帧内预测</w:t>
      </w:r>
      <w:r>
        <w:rPr>
          <w:sz w:val="24"/>
        </w:rPr>
        <w:t>模式</w:t>
      </w:r>
    </w:p>
    <w:p>
      <w:pPr>
        <w:spacing w:before="120" w:after="120"/>
        <w:ind w:firstLine="480" w:firstLineChars="200"/>
        <w:rPr>
          <w:rFonts w:ascii="Times New Roman" w:hAnsi="Times New Roman" w:cs="Arial"/>
          <w:sz w:val="24"/>
        </w:rPr>
      </w:pPr>
      <w:r>
        <w:rPr>
          <w:rFonts w:hint="eastAsia" w:ascii="Times New Roman" w:hAnsi="Times New Roman" w:cs="Arial"/>
          <w:sz w:val="24"/>
        </w:rPr>
        <w:t>此外PLC还支持在普通帧内预测模式和块复制帧内预测模式中嵌套预测单元级的差值预测模式、用于防止编码膨胀的原始值模式、以及用于防止编码缓冲区上溢的回退模式。灵活多样的预测技术为PLC在极低计算复杂度和硬件成本的前提下提供了良好的压缩效率支撑，通过预测降低的信号能级为量化和熵编码的性能提供了保障。</w:t>
      </w:r>
    </w:p>
    <w:p>
      <w:pPr>
        <w:rPr>
          <w:rFonts w:ascii="Times New Roman" w:hAnsi="Times New Roman"/>
          <w:sz w:val="24"/>
        </w:rPr>
      </w:pPr>
    </w:p>
    <w:p>
      <w:pPr>
        <w:numPr>
          <w:ilvl w:val="0"/>
          <w:numId w:val="2"/>
        </w:numPr>
        <w:adjustRightInd/>
        <w:spacing w:line="240" w:lineRule="auto"/>
        <w:rPr>
          <w:rFonts w:ascii="Times New Roman" w:hAnsi="Times New Roman"/>
          <w:b/>
          <w:sz w:val="24"/>
        </w:rPr>
      </w:pPr>
      <w:r>
        <w:rPr>
          <w:rFonts w:hint="eastAsia" w:ascii="Times New Roman" w:hAnsi="Times New Roman"/>
          <w:b/>
          <w:sz w:val="24"/>
        </w:rPr>
        <w:t>更符合人眼特性的量化技术</w:t>
      </w:r>
    </w:p>
    <w:p>
      <w:pPr>
        <w:ind w:firstLine="420"/>
        <w:rPr>
          <w:rFonts w:ascii="Times New Roman" w:hAnsi="Times New Roman" w:cs="Arial"/>
          <w:sz w:val="24"/>
        </w:rPr>
      </w:pPr>
      <w:r>
        <w:rPr>
          <w:rFonts w:hint="eastAsia" w:ascii="Times New Roman" w:hAnsi="Times New Roman" w:cs="Arial"/>
          <w:sz w:val="24"/>
        </w:rPr>
        <w:t>PLC的量化过程与传统的移位量化相同，即令Qstep = 2</w:t>
      </w:r>
      <w:r>
        <w:rPr>
          <w:rFonts w:hint="eastAsia" w:ascii="Times New Roman" w:hAnsi="Times New Roman" w:cs="Arial"/>
          <w:sz w:val="24"/>
          <w:vertAlign w:val="superscript"/>
        </w:rPr>
        <w:t>QP</w:t>
      </w:r>
      <w:r>
        <w:rPr>
          <w:rFonts w:hint="eastAsia" w:ascii="Times New Roman" w:hAnsi="Times New Roman" w:cs="Arial"/>
          <w:sz w:val="24"/>
        </w:rPr>
        <w:t>，量化参数QP的取值范围是0 ~ BitDepth。但考虑到量化过程对像素块不同残差带来的感知程度可能存在差异，PLC依据其编码单元的设计特性创新性地引入了逐点量化技术（PWQ，Point-Wise Quantization），即针对点预测模式进行逐像素点的调整量化参数QP，这一调整过程不需要额外的语法传输。</w:t>
      </w:r>
    </w:p>
    <w:p>
      <w:pPr>
        <w:spacing w:line="240" w:lineRule="auto"/>
        <w:jc w:val="center"/>
        <w:rPr>
          <w:rFonts w:ascii="Times New Roman" w:hAnsi="Times New Roman"/>
          <w:sz w:val="24"/>
          <w:lang w:val="en-CA"/>
        </w:rPr>
      </w:pPr>
      <w:r>
        <w:rPr>
          <w:rFonts w:ascii="Times New Roman" w:hAnsi="Times New Roman"/>
          <w:sz w:val="24"/>
          <w:lang w:val="en-CA"/>
        </w:rPr>
        <w:object>
          <v:shape id="_x0000_i1029" o:spt="75" type="#_x0000_t75" style="height:156.85pt;width:246.8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pStyle w:val="2"/>
        <w:ind w:left="420"/>
        <w:rPr>
          <w:sz w:val="24"/>
        </w:rPr>
      </w:pPr>
      <w:bookmarkStart w:id="5" w:name="_Ref98257970"/>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6</w:t>
      </w:r>
      <w:r>
        <w:rPr>
          <w:sz w:val="24"/>
        </w:rPr>
        <w:fldChar w:fldCharType="end"/>
      </w:r>
      <w:bookmarkEnd w:id="5"/>
      <w:r>
        <w:rPr>
          <w:sz w:val="24"/>
        </w:rPr>
        <w:t xml:space="preserve"> PWQ调整位置</w:t>
      </w:r>
    </w:p>
    <w:p>
      <w:pPr>
        <w:ind w:firstLine="420"/>
        <w:rPr>
          <w:rFonts w:ascii="Times New Roman" w:hAnsi="Times New Roman" w:cs="Arial"/>
          <w:sz w:val="24"/>
        </w:rPr>
      </w:pPr>
      <w:r>
        <w:rPr>
          <w:rFonts w:hint="eastAsia" w:ascii="Times New Roman" w:hAnsi="Times New Roman" w:cs="Arial"/>
          <w:sz w:val="24"/>
        </w:rPr>
        <w:t xml:space="preserve">在此基础上，PLC同时支持块级量化参数调整技术（BWQ，Block-Wise Quantization），即根据上一行参考像素的梯度信息对子块进行量化参数调整。该技术应用于Slice非首行的普通帧内预测模式的2x2或2x1子块（如图 </w:t>
      </w:r>
      <w:r>
        <w:rPr>
          <w:rFonts w:ascii="Times New Roman" w:hAnsi="Times New Roman" w:cs="Arial"/>
          <w:sz w:val="24"/>
        </w:rPr>
        <w:t>7</w:t>
      </w:r>
      <w:r>
        <w:rPr>
          <w:rFonts w:hint="eastAsia" w:ascii="Times New Roman" w:hAnsi="Times New Roman" w:cs="Arial"/>
          <w:sz w:val="24"/>
        </w:rPr>
        <w:t xml:space="preserve">所示），以及Slice非首行非首列的IBC模式中满足“BV = 0”的PB（如图 </w:t>
      </w:r>
      <w:r>
        <w:rPr>
          <w:rFonts w:ascii="Times New Roman" w:hAnsi="Times New Roman" w:cs="Arial"/>
          <w:sz w:val="24"/>
        </w:rPr>
        <w:t>8</w:t>
      </w:r>
      <w:r>
        <w:rPr>
          <w:rFonts w:hint="eastAsia" w:ascii="Times New Roman" w:hAnsi="Times New Roman" w:cs="Arial"/>
          <w:sz w:val="24"/>
        </w:rPr>
        <w:t>所示）。</w:t>
      </w:r>
    </w:p>
    <w:p>
      <w:pPr>
        <w:spacing w:line="240" w:lineRule="auto"/>
        <w:jc w:val="center"/>
        <w:rPr>
          <w:rFonts w:ascii="Times New Roman" w:hAnsi="Times New Roman"/>
          <w:sz w:val="24"/>
          <w:lang w:val="en-CA"/>
        </w:rPr>
      </w:pPr>
      <w:r>
        <w:rPr>
          <w:rFonts w:ascii="Times New Roman" w:hAnsi="Times New Roman"/>
          <w:sz w:val="24"/>
          <w:lang w:val="en-CA"/>
        </w:rPr>
        <w:object>
          <v:shape id="_x0000_i1030" o:spt="75" type="#_x0000_t75" style="height:118.3pt;width:342.5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pStyle w:val="2"/>
        <w:rPr>
          <w:rFonts w:cs="微软雅黑"/>
          <w:sz w:val="24"/>
        </w:rPr>
      </w:pPr>
      <w:bookmarkStart w:id="6" w:name="_Ref128488244"/>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7</w:t>
      </w:r>
      <w:r>
        <w:rPr>
          <w:sz w:val="24"/>
        </w:rPr>
        <w:fldChar w:fldCharType="end"/>
      </w:r>
      <w:bookmarkEnd w:id="6"/>
      <w:r>
        <w:rPr>
          <w:sz w:val="24"/>
        </w:rPr>
        <w:t xml:space="preserve"> </w:t>
      </w:r>
      <w:r>
        <w:rPr>
          <w:rFonts w:hint="eastAsia"/>
          <w:sz w:val="24"/>
        </w:rPr>
        <w:t>帧内</w:t>
      </w:r>
      <w:r>
        <w:rPr>
          <w:sz w:val="24"/>
        </w:rPr>
        <w:t>预测</w:t>
      </w:r>
      <w:r>
        <w:rPr>
          <w:rFonts w:hint="eastAsia"/>
          <w:sz w:val="24"/>
        </w:rPr>
        <w:t>模式</w:t>
      </w:r>
      <w:r>
        <w:rPr>
          <w:sz w:val="24"/>
        </w:rPr>
        <w:t>BWQ</w:t>
      </w:r>
      <w:r>
        <w:rPr>
          <w:rFonts w:hint="eastAsia"/>
          <w:sz w:val="24"/>
        </w:rPr>
        <w:t>子块</w:t>
      </w:r>
    </w:p>
    <w:p>
      <w:pPr>
        <w:spacing w:line="240" w:lineRule="auto"/>
        <w:jc w:val="center"/>
        <w:rPr>
          <w:rFonts w:ascii="Times New Roman" w:hAnsi="Times New Roman"/>
          <w:sz w:val="24"/>
          <w:lang w:val="en-CA"/>
        </w:rPr>
      </w:pPr>
      <w:r>
        <w:rPr>
          <w:rFonts w:ascii="Times New Roman" w:hAnsi="Times New Roman"/>
          <w:sz w:val="24"/>
          <w:lang w:val="en-CA"/>
        </w:rPr>
        <w:object>
          <v:shape id="_x0000_i1031" o:spt="75" type="#_x0000_t75" style="height:172.3pt;width:355.9pt;" o:ole="t" filled="f" o:preferrelative="t" stroked="f" coordsize="21600,21600">
            <v:path/>
            <v:fill on="f" focussize="0,0"/>
            <v:stroke on="f" joinstyle="miter"/>
            <v:imagedata r:id="rId19" o:title=""/>
            <o:lock v:ext="edit" aspectratio="t"/>
            <w10:wrap type="none"/>
            <w10:anchorlock/>
          </v:shape>
          <o:OLEObject Type="Embed" ProgID="Visio.Drawing.15" ShapeID="_x0000_i1031" DrawAspect="Content" ObjectID="_1468075731" r:id="rId18">
            <o:LockedField>false</o:LockedField>
          </o:OLEObject>
        </w:object>
      </w:r>
    </w:p>
    <w:p>
      <w:pPr>
        <w:pStyle w:val="2"/>
        <w:rPr>
          <w:rFonts w:cs="微软雅黑"/>
          <w:sz w:val="24"/>
        </w:rPr>
      </w:pPr>
      <w:bookmarkStart w:id="7" w:name="_Ref128488414"/>
      <w:r>
        <w:rPr>
          <w:rFonts w:hint="eastAsia"/>
          <w:sz w:val="24"/>
        </w:rPr>
        <w:t xml:space="preserve">图 </w:t>
      </w:r>
      <w:r>
        <w:rPr>
          <w:sz w:val="24"/>
        </w:rPr>
        <w:fldChar w:fldCharType="begin"/>
      </w:r>
      <w:r>
        <w:rPr>
          <w:sz w:val="24"/>
        </w:rPr>
        <w:instrText xml:space="preserve"> </w:instrText>
      </w:r>
      <w:r>
        <w:rPr>
          <w:rFonts w:hint="eastAsia"/>
          <w:sz w:val="24"/>
        </w:rPr>
        <w:instrText xml:space="preserve">SEQ 图 \* ARABIC</w:instrText>
      </w:r>
      <w:r>
        <w:rPr>
          <w:sz w:val="24"/>
        </w:rPr>
        <w:instrText xml:space="preserve"> </w:instrText>
      </w:r>
      <w:r>
        <w:rPr>
          <w:sz w:val="24"/>
        </w:rPr>
        <w:fldChar w:fldCharType="separate"/>
      </w:r>
      <w:r>
        <w:rPr>
          <w:sz w:val="24"/>
        </w:rPr>
        <w:t>8</w:t>
      </w:r>
      <w:r>
        <w:rPr>
          <w:sz w:val="24"/>
        </w:rPr>
        <w:fldChar w:fldCharType="end"/>
      </w:r>
      <w:bookmarkEnd w:id="7"/>
      <w:r>
        <w:rPr>
          <w:sz w:val="24"/>
        </w:rPr>
        <w:t xml:space="preserve"> IBC</w:t>
      </w:r>
      <w:r>
        <w:rPr>
          <w:rFonts w:hint="eastAsia"/>
          <w:sz w:val="24"/>
        </w:rPr>
        <w:t>模式BWQ</w:t>
      </w:r>
      <w:r>
        <w:rPr>
          <w:sz w:val="24"/>
        </w:rPr>
        <w:t>子块</w:t>
      </w:r>
    </w:p>
    <w:p>
      <w:pPr>
        <w:ind w:firstLine="420"/>
        <w:rPr>
          <w:rFonts w:ascii="Times New Roman" w:hAnsi="Times New Roman" w:cs="Arial"/>
          <w:sz w:val="24"/>
        </w:rPr>
      </w:pPr>
      <w:r>
        <w:rPr>
          <w:rFonts w:hint="eastAsia" w:ascii="Times New Roman" w:hAnsi="Times New Roman" w:cs="Arial"/>
          <w:sz w:val="24"/>
        </w:rPr>
        <w:t>通过对人眼视觉特性和感知失真程度的进一步建模，块级量化参数调整和逐点量化参数调整技术为更细粒度的量化质量分配提供了技术支撑，同时在标准规范中预留了充足的参数优化空间，为PLC标准实现过程中压缩重建的感知质量提升和进一步为感知域的冗余去除提供了良好的基础。</w:t>
      </w:r>
    </w:p>
    <w:p>
      <w:pPr>
        <w:ind w:firstLine="420"/>
        <w:rPr>
          <w:rFonts w:ascii="Times New Roman" w:hAnsi="Times New Roman" w:cs="Arial"/>
          <w:sz w:val="24"/>
        </w:rPr>
      </w:pPr>
    </w:p>
    <w:p>
      <w:pPr>
        <w:numPr>
          <w:ilvl w:val="0"/>
          <w:numId w:val="2"/>
        </w:numPr>
        <w:adjustRightInd/>
        <w:spacing w:line="240" w:lineRule="auto"/>
        <w:rPr>
          <w:rFonts w:ascii="Times New Roman" w:hAnsi="Times New Roman"/>
          <w:b/>
          <w:sz w:val="24"/>
        </w:rPr>
      </w:pPr>
      <w:r>
        <w:rPr>
          <w:rFonts w:hint="eastAsia" w:ascii="Times New Roman" w:hAnsi="Times New Roman"/>
          <w:b/>
          <w:sz w:val="24"/>
        </w:rPr>
        <w:t>更加灵活稳定的码率控制算法</w:t>
      </w:r>
    </w:p>
    <w:p>
      <w:pPr>
        <w:ind w:firstLine="420"/>
        <w:rPr>
          <w:rFonts w:ascii="Times New Roman" w:hAnsi="Times New Roman" w:cs="Arial"/>
          <w:sz w:val="24"/>
        </w:rPr>
      </w:pPr>
      <w:r>
        <w:rPr>
          <w:rFonts w:hint="eastAsia" w:ascii="Times New Roman" w:hAnsi="Times New Roman" w:cs="Arial"/>
          <w:sz w:val="24"/>
        </w:rPr>
        <w:t>PLC相比国际同类编码标准，支持更加灵活的码率控制策略。具体而言：PLC采纳了如</w:t>
      </w:r>
      <w:r>
        <w:rPr>
          <w:rFonts w:ascii="Times New Roman" w:hAnsi="Times New Roman" w:cs="Arial"/>
          <w:sz w:val="24"/>
        </w:rPr>
        <w:fldChar w:fldCharType="begin"/>
      </w:r>
      <w:r>
        <w:rPr>
          <w:rFonts w:ascii="Times New Roman" w:hAnsi="Times New Roman" w:cs="Arial"/>
          <w:sz w:val="24"/>
        </w:rPr>
        <w:instrText xml:space="preserve"> REF _Ref98261549 \h  \* MERGEFORMAT </w:instrText>
      </w:r>
      <w:r>
        <w:rPr>
          <w:rFonts w:ascii="Times New Roman" w:hAnsi="Times New Roman" w:cs="Arial"/>
          <w:sz w:val="24"/>
        </w:rPr>
        <w:fldChar w:fldCharType="separate"/>
      </w:r>
      <w:r>
        <w:rPr>
          <w:rFonts w:hint="eastAsia" w:ascii="Times New Roman" w:hAnsi="Times New Roman" w:cs="Arial"/>
          <w:sz w:val="24"/>
        </w:rPr>
        <w:t>图</w:t>
      </w:r>
      <w:r>
        <w:rPr>
          <w:rFonts w:ascii="Times New Roman" w:hAnsi="Times New Roman" w:cs="Arial"/>
          <w:sz w:val="24"/>
        </w:rPr>
        <w:t xml:space="preserve"> 9</w:t>
      </w:r>
      <w:r>
        <w:rPr>
          <w:rFonts w:ascii="Times New Roman" w:hAnsi="Times New Roman" w:cs="Arial"/>
          <w:sz w:val="24"/>
        </w:rPr>
        <w:fldChar w:fldCharType="end"/>
      </w:r>
      <w:r>
        <w:rPr>
          <w:rFonts w:hint="eastAsia" w:ascii="Times New Roman" w:hAnsi="Times New Roman" w:cs="Arial"/>
          <w:sz w:val="24"/>
        </w:rPr>
        <w:t>所示的码率控制算法框架，通过对编码单元的复杂度分级策略构建了一系列基于历史信息自适应更新的编码比特数估计模型，并通过对目标编码比特数、最低感知无损比特数、最高编码缓冲比特数三方特性进行放缩和钳位，最终推导获得不同编码单元的比特分配数量，进而通过亮色度量化参数映射模型导出实际用于各个像素块的量化参数配置。在实际编码流程结束后，实际编码的比特数通过反向比特数映射被用于更新上述估计模型。</w:t>
      </w:r>
    </w:p>
    <w:p>
      <w:pPr>
        <w:ind w:firstLine="420"/>
        <w:jc w:val="center"/>
        <w:rPr>
          <w:rFonts w:ascii="Times New Roman" w:hAnsi="Times New Roman"/>
          <w:sz w:val="24"/>
          <w:lang w:val="en-CA"/>
        </w:rPr>
      </w:pPr>
    </w:p>
    <w:p>
      <w:pPr>
        <w:spacing w:line="240" w:lineRule="auto"/>
        <w:jc w:val="center"/>
        <w:rPr>
          <w:rFonts w:ascii="Times New Roman" w:hAnsi="Times New Roman"/>
          <w:sz w:val="24"/>
        </w:rPr>
      </w:pPr>
      <w:r>
        <w:rPr>
          <w:rFonts w:ascii="Times New Roman" w:hAnsi="Times New Roman"/>
          <w:sz w:val="24"/>
          <w:lang w:val="en-CA"/>
        </w:rPr>
        <w:object>
          <v:shape id="_x0000_i1032" o:spt="75" type="#_x0000_t75" style="height:320.9pt;width:414pt;" o:ole="t" filled="f" o:preferrelative="t" stroked="f" coordsize="21600,21600">
            <v:path/>
            <v:fill on="f" focussize="0,0"/>
            <v:stroke on="f" joinstyle="miter"/>
            <v:imagedata r:id="rId21" o:title=""/>
            <o:lock v:ext="edit" aspectratio="t"/>
            <w10:wrap type="none"/>
            <w10:anchorlock/>
          </v:shape>
          <o:OLEObject Type="Embed" ProgID="Visio.Drawing.15" ShapeID="_x0000_i1032" DrawAspect="Content" ObjectID="_1468075732" r:id="rId20">
            <o:LockedField>false</o:LockedField>
          </o:OLEObject>
        </w:object>
      </w:r>
    </w:p>
    <w:p>
      <w:pPr>
        <w:pStyle w:val="2"/>
        <w:rPr>
          <w:sz w:val="24"/>
        </w:rPr>
      </w:pPr>
      <w:bookmarkStart w:id="8" w:name="_Ref98261549"/>
      <w:r>
        <w:rPr>
          <w:rFonts w:hint="eastAsia"/>
          <w:sz w:val="24"/>
        </w:rPr>
        <w:t>图</w:t>
      </w:r>
      <w:r>
        <w:rPr>
          <w:sz w:val="24"/>
        </w:rPr>
        <w:t xml:space="preserve"> </w:t>
      </w:r>
      <w:r>
        <w:rPr>
          <w:sz w:val="24"/>
        </w:rPr>
        <w:fldChar w:fldCharType="begin"/>
      </w:r>
      <w:r>
        <w:rPr>
          <w:sz w:val="24"/>
        </w:rPr>
        <w:instrText xml:space="preserve"> SEQ </w:instrText>
      </w:r>
      <w:r>
        <w:rPr>
          <w:rFonts w:hint="eastAsia"/>
          <w:sz w:val="24"/>
        </w:rPr>
        <w:instrText xml:space="preserve">图</w:instrText>
      </w:r>
      <w:r>
        <w:rPr>
          <w:sz w:val="24"/>
        </w:rPr>
        <w:instrText xml:space="preserve"> \* ARABIC </w:instrText>
      </w:r>
      <w:r>
        <w:rPr>
          <w:sz w:val="24"/>
        </w:rPr>
        <w:fldChar w:fldCharType="separate"/>
      </w:r>
      <w:r>
        <w:rPr>
          <w:sz w:val="24"/>
        </w:rPr>
        <w:t>9</w:t>
      </w:r>
      <w:r>
        <w:rPr>
          <w:sz w:val="24"/>
        </w:rPr>
        <w:fldChar w:fldCharType="end"/>
      </w:r>
      <w:bookmarkEnd w:id="8"/>
      <w:r>
        <w:rPr>
          <w:sz w:val="24"/>
        </w:rPr>
        <w:t xml:space="preserve"> </w:t>
      </w:r>
      <w:r>
        <w:rPr>
          <w:rFonts w:hint="eastAsia"/>
          <w:sz w:val="24"/>
        </w:rPr>
        <w:t>码控算法流程图</w:t>
      </w:r>
    </w:p>
    <w:p>
      <w:pPr>
        <w:pStyle w:val="7"/>
        <w:spacing w:line="400" w:lineRule="exact"/>
        <w:ind w:firstLine="0" w:firstLineChars="0"/>
        <w:rPr>
          <w:rFonts w:ascii="Times New Roman" w:cs="Arial"/>
          <w:sz w:val="24"/>
          <w:szCs w:val="21"/>
        </w:rPr>
      </w:pPr>
      <w:r>
        <w:rPr>
          <w:rFonts w:hint="eastAsia" w:ascii="Times New Roman" w:cs="Arial"/>
          <w:sz w:val="24"/>
          <w:szCs w:val="21"/>
        </w:rPr>
        <w:t>通过上述码率控制模型，PLC支持使用更低的缓冲区尺寸来开展更灵活的码率分配策略，进而允许以更低的硬件成本实现稳定且高效的编码资源分配。</w:t>
      </w:r>
    </w:p>
    <w:p>
      <w:pPr>
        <w:pStyle w:val="7"/>
        <w:spacing w:line="360" w:lineRule="auto"/>
        <w:ind w:firstLine="0" w:firstLineChars="0"/>
        <w:rPr>
          <w:b/>
          <w:sz w:val="24"/>
        </w:rPr>
      </w:pPr>
      <w:r>
        <w:rPr>
          <w:rFonts w:hint="eastAsia"/>
          <w:b/>
          <w:sz w:val="24"/>
        </w:rPr>
        <w:t>三、主要试验或验证情况分析</w:t>
      </w:r>
    </w:p>
    <w:p>
      <w:pPr>
        <w:snapToGrid w:val="0"/>
        <w:ind w:firstLine="480" w:firstLineChars="200"/>
        <w:rPr>
          <w:rFonts w:hint="eastAsia" w:ascii="Times New Roman" w:hAnsi="Times New Roman"/>
          <w:sz w:val="24"/>
        </w:rPr>
      </w:pPr>
      <w:r>
        <w:rPr>
          <w:rFonts w:hint="eastAsia" w:ascii="Times New Roman" w:hAnsi="Times New Roman"/>
          <w:sz w:val="24"/>
        </w:rPr>
        <w:t>High-speed Interface Model (简称HIM)作为PLC视频标准评测新技术的基础软件平台。第一个版本参考软件HPM1.0（QYEE1.0）在2023年1月发布，至今已到了第8个版本，即HIM8.1。相应地，根据不同的标准应用情况，工作组建立了高速视频传输接口、帧存压缩等不同通用测试条件，收集了从4K到8K的各种分辨率、各种采样精度的典型视频测试序列27条，通过至少20位测试人员，依据国际通用判定标准（ISO/IEC 29170-2）中判定方法进行了闪烁测试和并排测试两类测试。</w:t>
      </w:r>
    </w:p>
    <w:p>
      <w:pPr>
        <w:snapToGrid w:val="0"/>
        <w:spacing w:line="360" w:lineRule="auto"/>
        <w:ind w:firstLine="480" w:firstLineChars="200"/>
        <w:rPr>
          <w:rFonts w:ascii="Times New Roman" w:hAnsi="Times New Roman"/>
          <w:sz w:val="24"/>
        </w:rPr>
      </w:pPr>
      <w:r>
        <w:rPr>
          <w:rFonts w:hint="eastAsia" w:ascii="Times New Roman" w:hAnsi="Times New Roman"/>
          <w:sz w:val="24"/>
        </w:rPr>
        <w:t>目前，H</w:t>
      </w:r>
      <w:r>
        <w:rPr>
          <w:rFonts w:ascii="Times New Roman" w:hAnsi="Times New Roman"/>
          <w:sz w:val="24"/>
        </w:rPr>
        <w:t>I</w:t>
      </w:r>
      <w:r>
        <w:rPr>
          <w:rFonts w:hint="eastAsia" w:ascii="Times New Roman" w:hAnsi="Times New Roman"/>
          <w:sz w:val="24"/>
        </w:rPr>
        <w:t>M的客观编码效率测试结果如下：</w:t>
      </w:r>
    </w:p>
    <w:p>
      <w:pPr>
        <w:snapToGrid w:val="0"/>
        <w:spacing w:line="360" w:lineRule="auto"/>
        <w:jc w:val="center"/>
        <w:rPr>
          <w:rFonts w:hint="eastAsia" w:ascii="Times New Roman" w:hAnsi="Times New Roman"/>
          <w:sz w:val="24"/>
        </w:rPr>
      </w:pPr>
      <w:r>
        <w:rPr>
          <w:rFonts w:hint="eastAsia" w:ascii="Times New Roman" w:hAnsi="Times New Roman"/>
          <w:sz w:val="24"/>
        </w:rPr>
        <w:t>表</w:t>
      </w:r>
      <w:r>
        <w:rPr>
          <w:rFonts w:ascii="Times New Roman" w:hAnsi="Times New Roman"/>
          <w:sz w:val="24"/>
        </w:rPr>
        <w:fldChar w:fldCharType="begin"/>
      </w:r>
      <w:r>
        <w:rPr>
          <w:rFonts w:ascii="Times New Roman" w:hAnsi="Times New Roman"/>
          <w:sz w:val="24"/>
        </w:rPr>
        <w:instrText xml:space="preserve"> </w:instrText>
      </w:r>
      <w:r>
        <w:rPr>
          <w:rFonts w:hint="eastAsia" w:ascii="Times New Roman" w:hAnsi="Times New Roman"/>
          <w:sz w:val="24"/>
        </w:rPr>
        <w:instrText xml:space="preserve">= 1 \* Arabic</w:instrText>
      </w:r>
      <w:r>
        <w:rPr>
          <w:rFonts w:ascii="Times New Roman" w:hAnsi="Times New Roman"/>
          <w:sz w:val="24"/>
        </w:rPr>
        <w:instrText xml:space="preserve">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w:t>
      </w:r>
      <w:r>
        <w:rPr>
          <w:rFonts w:hint="eastAsia" w:ascii="Times New Roman" w:hAnsi="Times New Roman"/>
          <w:sz w:val="24"/>
        </w:rPr>
        <w:t>HIM客观编码效率</w:t>
      </w:r>
    </w:p>
    <w:tbl>
      <w:tblPr>
        <w:tblStyle w:val="5"/>
        <w:tblW w:w="8299" w:type="dxa"/>
        <w:jc w:val="center"/>
        <w:tblLayout w:type="autofit"/>
        <w:tblCellMar>
          <w:top w:w="0" w:type="dxa"/>
          <w:left w:w="108" w:type="dxa"/>
          <w:bottom w:w="0" w:type="dxa"/>
          <w:right w:w="108" w:type="dxa"/>
        </w:tblCellMar>
      </w:tblPr>
      <w:tblGrid>
        <w:gridCol w:w="692"/>
        <w:gridCol w:w="4763"/>
        <w:gridCol w:w="948"/>
        <w:gridCol w:w="948"/>
        <w:gridCol w:w="948"/>
      </w:tblGrid>
      <w:tr>
        <w:tblPrEx>
          <w:tblCellMar>
            <w:top w:w="0" w:type="dxa"/>
            <w:left w:w="108" w:type="dxa"/>
            <w:bottom w:w="0" w:type="dxa"/>
            <w:right w:w="108" w:type="dxa"/>
          </w:tblCellMar>
        </w:tblPrEx>
        <w:trPr>
          <w:trHeight w:val="447" w:hRule="atLeast"/>
          <w:tblHeader/>
          <w:jc w:val="center"/>
        </w:trPr>
        <w:tc>
          <w:tcPr>
            <w:tcW w:w="692" w:type="dxa"/>
            <w:tcBorders>
              <w:top w:val="single" w:color="auto" w:sz="8" w:space="0"/>
              <w:left w:val="single" w:color="auto" w:sz="8" w:space="0"/>
              <w:bottom w:val="single" w:color="auto" w:sz="8" w:space="0"/>
              <w:right w:val="single" w:color="auto" w:sz="4" w:space="0"/>
            </w:tcBorders>
            <w:noWrap/>
            <w:vAlign w:val="center"/>
          </w:tcPr>
          <w:p>
            <w:pPr>
              <w:widowControl/>
              <w:spacing w:line="240" w:lineRule="exact"/>
              <w:jc w:val="center"/>
              <w:rPr>
                <w:rFonts w:eastAsia="等线" w:cs="宋体"/>
                <w:b/>
                <w:bCs/>
                <w:color w:val="000000"/>
                <w:kern w:val="0"/>
                <w:sz w:val="18"/>
                <w:szCs w:val="20"/>
              </w:rPr>
            </w:pPr>
            <w:r>
              <w:rPr>
                <w:rFonts w:hint="eastAsia" w:eastAsia="等线" w:cs="宋体"/>
                <w:b/>
                <w:bCs/>
                <w:color w:val="000000"/>
                <w:kern w:val="0"/>
                <w:sz w:val="18"/>
                <w:szCs w:val="20"/>
              </w:rPr>
              <w:t>序号</w:t>
            </w:r>
          </w:p>
        </w:tc>
        <w:tc>
          <w:tcPr>
            <w:tcW w:w="4763" w:type="dxa"/>
            <w:tcBorders>
              <w:top w:val="single" w:color="auto" w:sz="8" w:space="0"/>
              <w:left w:val="nil"/>
              <w:bottom w:val="single" w:color="auto" w:sz="8" w:space="0"/>
              <w:right w:val="single" w:color="auto" w:sz="4" w:space="0"/>
            </w:tcBorders>
            <w:noWrap/>
            <w:vAlign w:val="center"/>
          </w:tcPr>
          <w:p>
            <w:pPr>
              <w:widowControl/>
              <w:spacing w:line="240" w:lineRule="exact"/>
              <w:jc w:val="center"/>
              <w:rPr>
                <w:rFonts w:eastAsia="等线" w:cs="宋体"/>
                <w:b/>
                <w:bCs/>
                <w:color w:val="000000"/>
                <w:kern w:val="0"/>
                <w:sz w:val="18"/>
                <w:szCs w:val="20"/>
              </w:rPr>
            </w:pPr>
            <w:r>
              <w:rPr>
                <w:rFonts w:hint="eastAsia" w:eastAsia="等线" w:cs="宋体"/>
                <w:b/>
                <w:bCs/>
                <w:color w:val="000000"/>
                <w:kern w:val="0"/>
                <w:sz w:val="18"/>
                <w:szCs w:val="20"/>
              </w:rPr>
              <w:t>序列名称</w:t>
            </w:r>
          </w:p>
        </w:tc>
        <w:tc>
          <w:tcPr>
            <w:tcW w:w="948" w:type="dxa"/>
            <w:tcBorders>
              <w:top w:val="single" w:color="auto" w:sz="8" w:space="0"/>
              <w:left w:val="nil"/>
              <w:bottom w:val="single" w:color="auto" w:sz="8" w:space="0"/>
              <w:right w:val="single" w:color="auto" w:sz="4" w:space="0"/>
            </w:tcBorders>
            <w:noWrap/>
            <w:vAlign w:val="center"/>
          </w:tcPr>
          <w:p>
            <w:pPr>
              <w:widowControl/>
              <w:spacing w:line="240" w:lineRule="exact"/>
              <w:jc w:val="center"/>
              <w:rPr>
                <w:rFonts w:eastAsia="等线" w:cs="宋体"/>
                <w:b/>
                <w:bCs/>
                <w:color w:val="000000"/>
                <w:kern w:val="0"/>
                <w:sz w:val="18"/>
                <w:szCs w:val="20"/>
              </w:rPr>
            </w:pPr>
            <w:r>
              <w:rPr>
                <w:rFonts w:eastAsia="等线" w:cs="宋体"/>
                <w:b/>
                <w:bCs/>
                <w:color w:val="000000"/>
                <w:kern w:val="0"/>
                <w:sz w:val="18"/>
                <w:szCs w:val="20"/>
              </w:rPr>
              <w:t>Y/R -PSNR</w:t>
            </w:r>
          </w:p>
        </w:tc>
        <w:tc>
          <w:tcPr>
            <w:tcW w:w="948" w:type="dxa"/>
            <w:tcBorders>
              <w:top w:val="single" w:color="auto" w:sz="8" w:space="0"/>
              <w:left w:val="nil"/>
              <w:bottom w:val="single" w:color="auto" w:sz="8" w:space="0"/>
              <w:right w:val="single" w:color="auto" w:sz="4" w:space="0"/>
            </w:tcBorders>
            <w:noWrap/>
            <w:vAlign w:val="center"/>
          </w:tcPr>
          <w:p>
            <w:pPr>
              <w:widowControl/>
              <w:spacing w:line="240" w:lineRule="exact"/>
              <w:jc w:val="center"/>
              <w:rPr>
                <w:rFonts w:eastAsia="等线" w:cs="宋体"/>
                <w:b/>
                <w:bCs/>
                <w:color w:val="000000"/>
                <w:kern w:val="0"/>
                <w:sz w:val="18"/>
                <w:szCs w:val="20"/>
              </w:rPr>
            </w:pPr>
            <w:r>
              <w:rPr>
                <w:rFonts w:eastAsia="等线" w:cs="宋体"/>
                <w:b/>
                <w:bCs/>
                <w:color w:val="000000"/>
                <w:kern w:val="0"/>
                <w:sz w:val="18"/>
                <w:szCs w:val="20"/>
              </w:rPr>
              <w:t>U/G -PSNR</w:t>
            </w:r>
          </w:p>
        </w:tc>
        <w:tc>
          <w:tcPr>
            <w:tcW w:w="948" w:type="dxa"/>
            <w:tcBorders>
              <w:top w:val="single" w:color="auto" w:sz="8" w:space="0"/>
              <w:left w:val="nil"/>
              <w:bottom w:val="single" w:color="auto" w:sz="8" w:space="0"/>
              <w:right w:val="single" w:color="auto" w:sz="8" w:space="0"/>
            </w:tcBorders>
            <w:noWrap/>
            <w:vAlign w:val="center"/>
          </w:tcPr>
          <w:p>
            <w:pPr>
              <w:widowControl/>
              <w:spacing w:line="240" w:lineRule="exact"/>
              <w:jc w:val="center"/>
              <w:rPr>
                <w:rFonts w:eastAsia="等线" w:cs="宋体"/>
                <w:b/>
                <w:bCs/>
                <w:color w:val="000000"/>
                <w:kern w:val="0"/>
                <w:sz w:val="18"/>
                <w:szCs w:val="20"/>
              </w:rPr>
            </w:pPr>
            <w:r>
              <w:rPr>
                <w:rFonts w:eastAsia="等线" w:cs="宋体"/>
                <w:b/>
                <w:bCs/>
                <w:color w:val="000000"/>
                <w:kern w:val="0"/>
                <w:sz w:val="18"/>
                <w:szCs w:val="20"/>
              </w:rPr>
              <w:t>V/B -PSNR</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BitstreamAnalyzer_1920x1080_30hz_8bit_444p.rgb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49.18</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51.19</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49.13</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Brickwall_3840x2160_8bit_444p.yuv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50.19</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48.82</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48.85</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Casuarius3_1920x1080_8bit_444p.rgb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37.31</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39.41</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37.39</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ChineseEditing_1920x1080_60hz_8bit_444p.yuv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52.93</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50.87</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51.51</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Church_3840x2160_10bit_444p.rgb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48.69</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50.47</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48.73</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CircuitLayout_1920x1080_8bit_444p.rgb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58.07</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61.69</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58.23</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7</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Cobblestone_3840x2160_10bit_444p.yuv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54.66</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53.59</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53.38</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8</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Coding_1920x1080_10bit_422p.yuv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66.75</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64.80</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65.06</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9</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ColorfulBoat_3840x2160_10bit_422p.yuv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57.94</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57.19</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56.98</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10</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DaylightRoad2_3840x2160_10bit_444p.rgb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47.10</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48.54</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47.13</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11</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DesktopAutumn_1920x1080_10bit_444p.yuv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52.49</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53.45</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53.50</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12</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Flowers_3840x2160_10bit_422p.yuv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63.95</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60.58</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60.60</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13</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FlyingGraphics_1920x1080_8bit_444p.rgb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53.17</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55.30</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53.23</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14</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GameSMU_1920x1080_10bit_420p.yuv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71.38</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69.15</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68.84</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15</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Mix-1_3840x2160_8bit_444p.rgb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42.48</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43.08</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41.53</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16</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MountainFlowers_2160x2160_8bit_444p.yuv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46.51</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49.14</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49.22</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17</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Noise3_3840x2160_8bit_444.yuv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39.97</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36.43</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36.37</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18</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OilColor_3840x2160_8bit_444.rgb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42.73</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44.53</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42.58</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19</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ParkRunning3_3840x2160_10bit_444p.yuv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49.82</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47.15</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47.84</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20</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PeopleAndTables_1920x1080_8bit_444p.yuv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56.53</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54.06</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54.42</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21</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Potcat_3840x2160_8bit_444p.yuv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47.52</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48.04</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47.87</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22</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SeaBird_1920x1920_10bit_420p.yuv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69.59</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68.50</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68.19</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23</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Subway_3840x2160_10bit_420p.yuv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65.63</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63.74</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63.75</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24</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TextOnFlower_3840x2160_10bit_444.rgb</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49.85</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51.51</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49.74</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25</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VenueVu_1920x1080_30hz_8bit_444p.yuv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49.16</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49.38</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48.94</w:t>
            </w:r>
          </w:p>
        </w:tc>
      </w:tr>
      <w:tr>
        <w:tblPrEx>
          <w:tblCellMar>
            <w:top w:w="0" w:type="dxa"/>
            <w:left w:w="108" w:type="dxa"/>
            <w:bottom w:w="0" w:type="dxa"/>
            <w:right w:w="108" w:type="dxa"/>
          </w:tblCellMar>
        </w:tblPrEx>
        <w:trPr>
          <w:trHeight w:val="77" w:hRule="atLeast"/>
          <w:jc w:val="center"/>
        </w:trPr>
        <w:tc>
          <w:tcPr>
            <w:tcW w:w="692" w:type="dxa"/>
            <w:tcBorders>
              <w:top w:val="nil"/>
              <w:left w:val="single" w:color="auto" w:sz="8" w:space="0"/>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26</w:t>
            </w:r>
          </w:p>
        </w:tc>
        <w:tc>
          <w:tcPr>
            <w:tcW w:w="4763"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WallLeaves_3840x2160_10bit_444p.yuv</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54.96</w:t>
            </w:r>
          </w:p>
        </w:tc>
        <w:tc>
          <w:tcPr>
            <w:tcW w:w="948" w:type="dxa"/>
            <w:tcBorders>
              <w:top w:val="nil"/>
              <w:left w:val="nil"/>
              <w:bottom w:val="single" w:color="auto" w:sz="4"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54.74</w:t>
            </w:r>
          </w:p>
        </w:tc>
        <w:tc>
          <w:tcPr>
            <w:tcW w:w="948" w:type="dxa"/>
            <w:tcBorders>
              <w:top w:val="nil"/>
              <w:left w:val="nil"/>
              <w:bottom w:val="single" w:color="auto" w:sz="4"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55.22</w:t>
            </w:r>
          </w:p>
        </w:tc>
      </w:tr>
      <w:tr>
        <w:tblPrEx>
          <w:tblCellMar>
            <w:top w:w="0" w:type="dxa"/>
            <w:left w:w="108" w:type="dxa"/>
            <w:bottom w:w="0" w:type="dxa"/>
            <w:right w:w="108" w:type="dxa"/>
          </w:tblCellMar>
        </w:tblPrEx>
        <w:trPr>
          <w:trHeight w:val="79" w:hRule="atLeast"/>
          <w:jc w:val="center"/>
        </w:trPr>
        <w:tc>
          <w:tcPr>
            <w:tcW w:w="692" w:type="dxa"/>
            <w:tcBorders>
              <w:top w:val="nil"/>
              <w:left w:val="single" w:color="auto" w:sz="8" w:space="0"/>
              <w:bottom w:val="single" w:color="auto" w:sz="8"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27</w:t>
            </w:r>
          </w:p>
        </w:tc>
        <w:tc>
          <w:tcPr>
            <w:tcW w:w="4763" w:type="dxa"/>
            <w:tcBorders>
              <w:top w:val="nil"/>
              <w:left w:val="nil"/>
              <w:bottom w:val="single" w:color="auto" w:sz="8"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Website6_1920x1080_10bit_444p.rgb</w:t>
            </w:r>
          </w:p>
        </w:tc>
        <w:tc>
          <w:tcPr>
            <w:tcW w:w="948" w:type="dxa"/>
            <w:tcBorders>
              <w:top w:val="nil"/>
              <w:left w:val="nil"/>
              <w:bottom w:val="single" w:color="auto" w:sz="8"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43.09</w:t>
            </w:r>
          </w:p>
        </w:tc>
        <w:tc>
          <w:tcPr>
            <w:tcW w:w="948" w:type="dxa"/>
            <w:tcBorders>
              <w:top w:val="nil"/>
              <w:left w:val="nil"/>
              <w:bottom w:val="single" w:color="auto" w:sz="8" w:space="0"/>
              <w:right w:val="single" w:color="auto" w:sz="4"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45.06</w:t>
            </w:r>
          </w:p>
        </w:tc>
        <w:tc>
          <w:tcPr>
            <w:tcW w:w="948" w:type="dxa"/>
            <w:tcBorders>
              <w:top w:val="nil"/>
              <w:left w:val="nil"/>
              <w:bottom w:val="single" w:color="auto" w:sz="8" w:space="0"/>
              <w:right w:val="single" w:color="auto" w:sz="8" w:space="0"/>
            </w:tcBorders>
            <w:noWrap/>
            <w:vAlign w:val="center"/>
          </w:tcPr>
          <w:p>
            <w:pPr>
              <w:widowControl/>
              <w:spacing w:line="240" w:lineRule="exact"/>
              <w:jc w:val="center"/>
              <w:rPr>
                <w:rFonts w:ascii="Times New Roman" w:hAnsi="Times New Roman" w:eastAsia="等线"/>
                <w:color w:val="000000"/>
                <w:kern w:val="0"/>
                <w:sz w:val="18"/>
                <w:szCs w:val="20"/>
              </w:rPr>
            </w:pPr>
            <w:r>
              <w:rPr>
                <w:rFonts w:ascii="Times New Roman" w:hAnsi="Times New Roman" w:eastAsia="等线"/>
                <w:color w:val="000000"/>
                <w:kern w:val="0"/>
                <w:sz w:val="18"/>
                <w:szCs w:val="20"/>
              </w:rPr>
              <w:t>43.14</w:t>
            </w:r>
          </w:p>
        </w:tc>
      </w:tr>
    </w:tbl>
    <w:p>
      <w:pPr>
        <w:snapToGrid w:val="0"/>
        <w:ind w:firstLine="480" w:firstLineChars="200"/>
        <w:rPr>
          <w:rFonts w:ascii="Times New Roman" w:hAnsi="Times New Roman"/>
          <w:sz w:val="24"/>
        </w:rPr>
      </w:pPr>
      <w:r>
        <w:rPr>
          <w:rFonts w:hint="eastAsia" w:ascii="Times New Roman" w:hAnsi="Times New Roman"/>
          <w:sz w:val="24"/>
        </w:rPr>
        <w:t>此外，AVS工作组联合鹏城实验室于2023年</w:t>
      </w:r>
      <w:r>
        <w:rPr>
          <w:rFonts w:ascii="Times New Roman" w:hAnsi="Times New Roman"/>
          <w:sz w:val="24"/>
        </w:rPr>
        <w:t>5</w:t>
      </w:r>
      <w:r>
        <w:rPr>
          <w:rFonts w:hint="eastAsia" w:ascii="Times New Roman" w:hAnsi="Times New Roman"/>
          <w:sz w:val="24"/>
        </w:rPr>
        <w:t>月开展了感知无损压缩（PLC）编码参考软件平台HIM与国际同类型最优编码平台DSC的主观质量进行了测试。测试共邀请被试人员20位，使用测试序列27条，获得有效测试数据459条。参考ISO</w:t>
      </w:r>
      <w:r>
        <w:rPr>
          <w:rFonts w:ascii="Times New Roman" w:hAnsi="Times New Roman"/>
          <w:sz w:val="24"/>
        </w:rPr>
        <w:t>/IEC</w:t>
      </w:r>
      <w:r>
        <w:rPr>
          <w:rFonts w:hint="eastAsia" w:ascii="Times New Roman" w:hAnsi="Times New Roman"/>
          <w:sz w:val="24"/>
        </w:rPr>
        <w:t xml:space="preserve"> 29170-2中判定方法进行了闪烁测试和并排测试两类测试，其中在闪烁测试中有25/27条序列达到主观无损标准，并排测试中27/27条序列全部达到主观无损标准。在接口档次与DSC混合盲测的结果中，接口档次共有8/10条序列达到闪烁测试主观无损判定标准，与DSC平台表现持平；共有10/10条序列全部达到并排测试主观无损标准，优于DSC平台表现（9/10）。</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测试结果表明，本部分在技术和性能上处于国际先进水平，尽快颁布PLC视频编码标准，并在高速视频</w:t>
      </w:r>
      <w:r>
        <w:rPr>
          <w:rFonts w:ascii="Times New Roman" w:hAnsi="Times New Roman"/>
          <w:sz w:val="24"/>
        </w:rPr>
        <w:t>传输</w:t>
      </w:r>
      <w:r>
        <w:rPr>
          <w:rFonts w:hint="eastAsia" w:ascii="Times New Roman" w:hAnsi="Times New Roman"/>
          <w:sz w:val="24"/>
        </w:rPr>
        <w:t>接口、</w:t>
      </w:r>
      <w:r>
        <w:rPr>
          <w:rFonts w:ascii="Times New Roman" w:hAnsi="Times New Roman"/>
          <w:sz w:val="24"/>
        </w:rPr>
        <w:t>帧存压缩</w:t>
      </w:r>
      <w:r>
        <w:rPr>
          <w:rFonts w:hint="eastAsia" w:ascii="Times New Roman" w:hAnsi="Times New Roman"/>
          <w:sz w:val="24"/>
        </w:rPr>
        <w:t>等应用领域全面推广使用，将有利于促进数字音视频产业的跨越发展，为国家赢得巨大的经济利益。</w:t>
      </w:r>
    </w:p>
    <w:p>
      <w:pPr>
        <w:autoSpaceDE w:val="0"/>
        <w:autoSpaceDN w:val="0"/>
        <w:spacing w:line="240" w:lineRule="auto"/>
        <w:jc w:val="center"/>
        <w:rPr>
          <w:rFonts w:ascii="宋体"/>
          <w:kern w:val="0"/>
          <w:szCs w:val="18"/>
        </w:rPr>
      </w:pPr>
      <w:r>
        <w:drawing>
          <wp:inline distT="0" distB="0" distL="0" distR="0">
            <wp:extent cx="5447030" cy="2801620"/>
            <wp:effectExtent l="0" t="0" r="127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2"/>
        <w:rPr>
          <w:rFonts w:ascii="宋体"/>
          <w:kern w:val="0"/>
          <w:sz w:val="24"/>
          <w:szCs w:val="24"/>
        </w:rPr>
      </w:pPr>
      <w:r>
        <w:rPr>
          <w:rFonts w:hint="eastAsia"/>
          <w:sz w:val="24"/>
          <w:szCs w:val="24"/>
        </w:rPr>
        <w:t xml:space="preserve">图 </w:t>
      </w:r>
      <w:r>
        <w:rPr>
          <w:sz w:val="24"/>
          <w:szCs w:val="24"/>
        </w:rPr>
        <w:fldChar w:fldCharType="begin"/>
      </w:r>
      <w:r>
        <w:rPr>
          <w:sz w:val="24"/>
          <w:szCs w:val="24"/>
        </w:rPr>
        <w:instrText xml:space="preserve"> </w:instrText>
      </w:r>
      <w:r>
        <w:rPr>
          <w:rFonts w:hint="eastAsia"/>
          <w:sz w:val="24"/>
          <w:szCs w:val="24"/>
        </w:rPr>
        <w:instrText xml:space="preserve">SEQ 图 \* ARABIC</w:instrText>
      </w:r>
      <w:r>
        <w:rPr>
          <w:sz w:val="24"/>
          <w:szCs w:val="24"/>
        </w:rPr>
        <w:instrText xml:space="preserve"> </w:instrText>
      </w:r>
      <w:r>
        <w:rPr>
          <w:sz w:val="24"/>
          <w:szCs w:val="24"/>
        </w:rPr>
        <w:fldChar w:fldCharType="separate"/>
      </w:r>
      <w:r>
        <w:rPr>
          <w:sz w:val="24"/>
          <w:szCs w:val="24"/>
        </w:rPr>
        <w:t>10</w:t>
      </w:r>
      <w:r>
        <w:rPr>
          <w:sz w:val="24"/>
          <w:szCs w:val="24"/>
        </w:rPr>
        <w:fldChar w:fldCharType="end"/>
      </w:r>
      <w:r>
        <w:rPr>
          <w:sz w:val="24"/>
          <w:szCs w:val="24"/>
        </w:rPr>
        <w:t xml:space="preserve"> </w:t>
      </w:r>
      <w:r>
        <w:rPr>
          <w:rFonts w:hint="eastAsia"/>
          <w:sz w:val="24"/>
          <w:szCs w:val="24"/>
        </w:rPr>
        <w:t>客观重建数据与主观标定数量趋势对比（</w:t>
      </w:r>
      <w:r>
        <w:rPr>
          <w:sz w:val="24"/>
          <w:szCs w:val="24"/>
        </w:rPr>
        <w:t>PSNR</w:t>
      </w:r>
      <w:r>
        <w:rPr>
          <w:rFonts w:hint="eastAsia"/>
          <w:sz w:val="24"/>
          <w:szCs w:val="24"/>
        </w:rPr>
        <w:t>使用像素数量比加权）</w:t>
      </w:r>
    </w:p>
    <w:p>
      <w:pPr>
        <w:pStyle w:val="7"/>
        <w:spacing w:line="360" w:lineRule="auto"/>
        <w:ind w:firstLine="482"/>
        <w:rPr>
          <w:b/>
          <w:sz w:val="24"/>
          <w:szCs w:val="24"/>
        </w:rPr>
      </w:pPr>
      <w:r>
        <w:rPr>
          <w:rFonts w:hint="eastAsia"/>
          <w:b/>
          <w:sz w:val="24"/>
          <w:szCs w:val="24"/>
        </w:rPr>
        <w:t>四、知识产权情况说明</w:t>
      </w:r>
    </w:p>
    <w:p>
      <w:pPr>
        <w:ind w:firstLine="480" w:firstLineChars="200"/>
        <w:rPr>
          <w:rFonts w:ascii="宋体" w:hAnsi="宋体"/>
          <w:sz w:val="24"/>
          <w:szCs w:val="24"/>
        </w:rPr>
      </w:pPr>
      <w:r>
        <w:rPr>
          <w:rFonts w:hint="eastAsia" w:ascii="宋体" w:hAnsi="宋体"/>
          <w:sz w:val="24"/>
          <w:szCs w:val="24"/>
        </w:rPr>
        <w:t>工作组根据《感知无损压缩 第1部分：图像》（送审稿）》，对在我国获得授权的专利或者已经公开的专利申请，进行了“拉网式”检索和分析，以确定</w:t>
      </w:r>
      <w:r>
        <w:rPr>
          <w:rFonts w:ascii="宋体" w:hAnsi="宋体"/>
          <w:sz w:val="24"/>
          <w:szCs w:val="24"/>
        </w:rPr>
        <w:t>PLC</w:t>
      </w:r>
      <w:r>
        <w:rPr>
          <w:rFonts w:hint="eastAsia" w:ascii="宋体" w:hAnsi="宋体"/>
          <w:sz w:val="24"/>
          <w:szCs w:val="24"/>
        </w:rPr>
        <w:t>视频标准是否存在知识产权风险。</w:t>
      </w:r>
    </w:p>
    <w:p>
      <w:pPr>
        <w:ind w:firstLine="480" w:firstLineChars="200"/>
        <w:rPr>
          <w:rFonts w:ascii="宋体" w:hAnsi="宋体"/>
          <w:sz w:val="24"/>
          <w:szCs w:val="24"/>
        </w:rPr>
      </w:pPr>
      <w:r>
        <w:rPr>
          <w:rFonts w:hint="eastAsia" w:ascii="宋体" w:hAnsi="宋体"/>
          <w:sz w:val="24"/>
          <w:szCs w:val="24"/>
        </w:rPr>
        <w:t>根据分析，</w:t>
      </w:r>
      <w:r>
        <w:rPr>
          <w:rFonts w:ascii="宋体" w:hAnsi="宋体"/>
          <w:sz w:val="24"/>
          <w:szCs w:val="24"/>
        </w:rPr>
        <w:t>PLC</w:t>
      </w:r>
      <w:r>
        <w:rPr>
          <w:rFonts w:hint="eastAsia" w:ascii="宋体" w:hAnsi="宋体"/>
          <w:sz w:val="24"/>
          <w:szCs w:val="24"/>
        </w:rPr>
        <w:t>视频相关的中国专利可分为三大类：</w:t>
      </w:r>
    </w:p>
    <w:p>
      <w:pPr>
        <w:ind w:firstLine="480" w:firstLineChars="200"/>
        <w:rPr>
          <w:rFonts w:ascii="宋体" w:hAnsi="宋体"/>
          <w:sz w:val="24"/>
          <w:szCs w:val="24"/>
        </w:rPr>
      </w:pPr>
      <w:r>
        <w:rPr>
          <w:rFonts w:ascii="宋体" w:hAnsi="宋体"/>
          <w:sz w:val="24"/>
          <w:szCs w:val="24"/>
        </w:rPr>
        <w:t>(1) AVS</w:t>
      </w:r>
      <w:r>
        <w:rPr>
          <w:rFonts w:hint="eastAsia" w:ascii="宋体" w:hAnsi="宋体"/>
          <w:sz w:val="24"/>
          <w:szCs w:val="24"/>
        </w:rPr>
        <w:t>工作组中技术提案单位或工作组成员正在申请或拥有的自主专利。根据目前提案单位及工作组成员单位披露情况，</w:t>
      </w:r>
      <w:r>
        <w:rPr>
          <w:rFonts w:hint="eastAsia" w:ascii="宋体" w:hAnsi="宋体"/>
          <w:sz w:val="24"/>
          <w:szCs w:val="24"/>
          <w:highlight w:val="yellow"/>
        </w:rPr>
        <w:t>已知的专利数量为XX项，来自</w:t>
      </w:r>
      <w:r>
        <w:rPr>
          <w:rFonts w:ascii="宋体" w:hAnsi="宋体"/>
          <w:sz w:val="24"/>
          <w:szCs w:val="24"/>
          <w:highlight w:val="yellow"/>
        </w:rPr>
        <w:t>X</w:t>
      </w:r>
      <w:r>
        <w:rPr>
          <w:rFonts w:hint="eastAsia" w:ascii="宋体" w:hAnsi="宋体"/>
          <w:sz w:val="24"/>
          <w:szCs w:val="24"/>
          <w:highlight w:val="yellow"/>
        </w:rPr>
        <w:t>家单位</w:t>
      </w:r>
      <w:r>
        <w:rPr>
          <w:rFonts w:hint="eastAsia" w:ascii="宋体" w:hAnsi="宋体"/>
          <w:sz w:val="24"/>
          <w:szCs w:val="24"/>
        </w:rPr>
        <w:t>。这些专利或潜在专利的权利人均承诺同意将专利纳入“</w:t>
      </w:r>
      <w:r>
        <w:rPr>
          <w:rFonts w:ascii="宋体" w:hAnsi="宋体"/>
          <w:sz w:val="24"/>
          <w:szCs w:val="24"/>
        </w:rPr>
        <w:t>AVS</w:t>
      </w:r>
      <w:r>
        <w:rPr>
          <w:rFonts w:hint="eastAsia" w:ascii="宋体" w:hAnsi="宋体"/>
          <w:sz w:val="24"/>
          <w:szCs w:val="24"/>
        </w:rPr>
        <w:t>专利池”统一进行实施许可，因此这些专利将是未来PLC视频编码技术专利池的主要组成部分；</w:t>
      </w:r>
    </w:p>
    <w:p>
      <w:pPr>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利用各技术类别的关键词组成的</w:t>
      </w:r>
      <w:r>
        <w:rPr>
          <w:rFonts w:ascii="宋体" w:hAnsi="宋体"/>
          <w:sz w:val="24"/>
          <w:szCs w:val="24"/>
          <w:highlight w:val="yellow"/>
        </w:rPr>
        <w:t>X</w:t>
      </w:r>
      <w:r>
        <w:rPr>
          <w:rFonts w:hint="eastAsia" w:ascii="宋体" w:hAnsi="宋体"/>
          <w:sz w:val="24"/>
          <w:szCs w:val="24"/>
        </w:rPr>
        <w:t>个检索式对中国专利库进行检索得到的专利。从数百项检索得到的专利列表中挑拣出与视频编解码相关的专利共计</w:t>
      </w:r>
      <w:r>
        <w:rPr>
          <w:rFonts w:hint="eastAsia" w:ascii="宋体" w:hAnsi="宋体"/>
          <w:sz w:val="24"/>
          <w:szCs w:val="24"/>
          <w:highlight w:val="yellow"/>
        </w:rPr>
        <w:t>X</w:t>
      </w:r>
      <w:r>
        <w:rPr>
          <w:rFonts w:hint="eastAsia" w:ascii="宋体" w:hAnsi="宋体"/>
          <w:sz w:val="24"/>
          <w:szCs w:val="24"/>
        </w:rPr>
        <w:t>项，逐项分析表明本部分的技术与其中的</w:t>
      </w:r>
      <w:r>
        <w:rPr>
          <w:rFonts w:ascii="宋体" w:hAnsi="宋体"/>
          <w:sz w:val="24"/>
          <w:szCs w:val="24"/>
          <w:highlight w:val="yellow"/>
        </w:rPr>
        <w:t>X</w:t>
      </w:r>
      <w:r>
        <w:rPr>
          <w:rFonts w:hint="eastAsia" w:ascii="宋体" w:hAnsi="宋体"/>
          <w:sz w:val="24"/>
          <w:szCs w:val="24"/>
        </w:rPr>
        <w:t>项专利有一定的技术关联性，但经仔细对比后认为，PLC视频标准并未侵犯提案单位或工作组成员单位之外的其它专利权人的专利；</w:t>
      </w:r>
    </w:p>
    <w:p>
      <w:pPr>
        <w:ind w:firstLine="480" w:firstLineChars="200"/>
        <w:rPr>
          <w:rFonts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)PLC</w:t>
      </w:r>
      <w:r>
        <w:rPr>
          <w:rFonts w:hint="eastAsia" w:ascii="宋体" w:hAnsi="宋体"/>
          <w:sz w:val="24"/>
          <w:szCs w:val="24"/>
        </w:rPr>
        <w:t>视频标准使用了部分已过专利保护期限的专利技术，成为公开技术。</w:t>
      </w:r>
    </w:p>
    <w:p>
      <w:pPr>
        <w:ind w:firstLine="480" w:firstLineChars="200"/>
        <w:rPr>
          <w:rFonts w:ascii="宋体" w:hAnsi="宋体"/>
          <w:sz w:val="24"/>
          <w:szCs w:val="24"/>
        </w:rPr>
      </w:pPr>
      <w:r>
        <w:rPr>
          <w:rFonts w:hint="eastAsia" w:ascii="宋体" w:hAnsi="宋体"/>
          <w:sz w:val="24"/>
          <w:szCs w:val="24"/>
        </w:rPr>
        <w:t>通过对国际、国内相关专利的认真仔细的调查分析，我们认为中国研究机构和企业的自主专利技术、愿意加入“</w:t>
      </w:r>
      <w:r>
        <w:rPr>
          <w:rFonts w:ascii="宋体" w:hAnsi="宋体"/>
          <w:sz w:val="24"/>
          <w:szCs w:val="24"/>
        </w:rPr>
        <w:t>AVS</w:t>
      </w:r>
      <w:r>
        <w:rPr>
          <w:rFonts w:hint="eastAsia" w:ascii="宋体" w:hAnsi="宋体"/>
          <w:sz w:val="24"/>
          <w:szCs w:val="24"/>
        </w:rPr>
        <w:t>专利池”统一进行实施许可的国外企业专利技术、以及公开技术构成了PLC视频标准的专利主体。PLC视频标准作为国家标准，凭借自主技术的明显优势地位和公平合理的“</w:t>
      </w:r>
      <w:r>
        <w:rPr>
          <w:rFonts w:ascii="宋体" w:hAnsi="宋体"/>
          <w:sz w:val="24"/>
          <w:szCs w:val="24"/>
        </w:rPr>
        <w:t>AVS</w:t>
      </w:r>
      <w:r>
        <w:rPr>
          <w:rFonts w:hint="eastAsia" w:ascii="宋体" w:hAnsi="宋体"/>
          <w:sz w:val="24"/>
          <w:szCs w:val="24"/>
        </w:rPr>
        <w:t>专利池”统一许可模式，在知识产权方面具有明显的技术主动权，能够妥善解决知识产权问题，不存在明显的知识产权侵权风险。在国际范围内，</w:t>
      </w:r>
      <w:r>
        <w:rPr>
          <w:rFonts w:ascii="宋体" w:hAnsi="宋体"/>
          <w:sz w:val="24"/>
          <w:szCs w:val="24"/>
        </w:rPr>
        <w:t>AVS</w:t>
      </w:r>
      <w:r>
        <w:rPr>
          <w:rFonts w:hint="eastAsia" w:ascii="宋体" w:hAnsi="宋体"/>
          <w:sz w:val="24"/>
          <w:szCs w:val="24"/>
        </w:rPr>
        <w:t>自主技术优势也很明显，而国际上本领域的重要跨国企业已大量参加</w:t>
      </w:r>
      <w:r>
        <w:rPr>
          <w:rFonts w:ascii="宋体" w:hAnsi="宋体"/>
          <w:sz w:val="24"/>
          <w:szCs w:val="24"/>
        </w:rPr>
        <w:t>AVS</w:t>
      </w:r>
      <w:r>
        <w:rPr>
          <w:rFonts w:hint="eastAsia" w:ascii="宋体" w:hAnsi="宋体"/>
          <w:sz w:val="24"/>
          <w:szCs w:val="24"/>
        </w:rPr>
        <w:t>工作组，他们拥有的专利技术也愿意加入“</w:t>
      </w:r>
      <w:r>
        <w:rPr>
          <w:rFonts w:ascii="宋体" w:hAnsi="宋体"/>
          <w:sz w:val="24"/>
          <w:szCs w:val="24"/>
        </w:rPr>
        <w:t>AVS</w:t>
      </w:r>
      <w:r>
        <w:rPr>
          <w:rFonts w:hint="eastAsia" w:ascii="宋体" w:hAnsi="宋体"/>
          <w:sz w:val="24"/>
          <w:szCs w:val="24"/>
        </w:rPr>
        <w:t>专利池”进行许可，因此PLC视频标准具有在国际范围内推广应用的良好基础。</w:t>
      </w:r>
    </w:p>
    <w:p>
      <w:pPr>
        <w:snapToGrid w:val="0"/>
        <w:spacing w:line="360" w:lineRule="auto"/>
        <w:ind w:firstLine="420" w:firstLineChars="200"/>
        <w:rPr>
          <w:rFonts w:ascii="楷体_GB2312" w:eastAsia="楷体_GB2312"/>
        </w:rPr>
      </w:pPr>
    </w:p>
    <w:p>
      <w:pPr>
        <w:pStyle w:val="7"/>
        <w:spacing w:line="360" w:lineRule="auto"/>
        <w:ind w:firstLine="482"/>
        <w:rPr>
          <w:b/>
          <w:sz w:val="24"/>
          <w:szCs w:val="24"/>
        </w:rPr>
      </w:pPr>
      <w:r>
        <w:rPr>
          <w:rFonts w:hint="eastAsia"/>
          <w:b/>
          <w:sz w:val="24"/>
          <w:szCs w:val="24"/>
        </w:rPr>
        <w:t>五、</w:t>
      </w:r>
      <w:r>
        <w:rPr>
          <w:rFonts w:hint="eastAsia"/>
          <w:b/>
          <w:color w:val="000000"/>
          <w:sz w:val="24"/>
          <w:szCs w:val="24"/>
        </w:rPr>
        <w:t>产业化情况、推广应用论证和预期达到的经济效果</w:t>
      </w:r>
    </w:p>
    <w:p>
      <w:pPr>
        <w:pStyle w:val="7"/>
        <w:spacing w:line="360" w:lineRule="auto"/>
        <w:ind w:firstLine="480"/>
        <w:rPr>
          <w:rFonts w:hAnsi="宋体"/>
          <w:sz w:val="24"/>
          <w:szCs w:val="22"/>
        </w:rPr>
      </w:pPr>
      <w:r>
        <w:rPr>
          <w:rFonts w:hint="eastAsia" w:hAnsi="宋体"/>
          <w:sz w:val="24"/>
          <w:szCs w:val="22"/>
        </w:rPr>
        <w:t>本标准旨在用来定义和/或设计适用于视频传输接口、帧存压缩等感知无损压缩视频系统的目的。</w:t>
      </w:r>
    </w:p>
    <w:p>
      <w:pPr>
        <w:pStyle w:val="7"/>
        <w:spacing w:line="360" w:lineRule="auto"/>
        <w:ind w:firstLine="480"/>
        <w:rPr>
          <w:rFonts w:hAnsi="宋体"/>
          <w:sz w:val="24"/>
          <w:szCs w:val="22"/>
        </w:rPr>
      </w:pPr>
      <w:r>
        <w:rPr>
          <w:rFonts w:hint="eastAsia" w:hAnsi="宋体"/>
          <w:sz w:val="24"/>
          <w:szCs w:val="22"/>
        </w:rPr>
        <w:t>本部分定义和使用感知无损压缩（PLC）技术标准的主要目的是：面向我国的超高清信息产业需求，联合国内企业和科研机构，制（修）订高速数字视频传输接口/系统的感知无损压缩、解压缩、处理和表示等共性技术标准，为超高清数字音视频设备与系统提供高效经济的编解码技术，服务于高分辨率数字传输系统、超高清内容生产编辑、短距离高速视频通信等重大信息产业应用。</w:t>
      </w:r>
    </w:p>
    <w:p>
      <w:pPr>
        <w:pStyle w:val="7"/>
        <w:spacing w:line="360" w:lineRule="auto"/>
        <w:ind w:firstLine="482"/>
        <w:rPr>
          <w:b/>
          <w:sz w:val="24"/>
          <w:szCs w:val="24"/>
        </w:rPr>
      </w:pPr>
      <w:r>
        <w:rPr>
          <w:rFonts w:hint="eastAsia"/>
          <w:b/>
          <w:sz w:val="24"/>
          <w:szCs w:val="24"/>
        </w:rPr>
        <w:t>六、采用国际标准和国外先进标准情况</w:t>
      </w:r>
    </w:p>
    <w:p>
      <w:pPr>
        <w:pStyle w:val="7"/>
        <w:spacing w:line="360" w:lineRule="auto"/>
        <w:ind w:firstLine="480"/>
        <w:rPr>
          <w:rFonts w:hint="eastAsia"/>
          <w:sz w:val="24"/>
        </w:rPr>
      </w:pPr>
      <w:r>
        <w:rPr>
          <w:rFonts w:hint="eastAsia"/>
          <w:sz w:val="24"/>
        </w:rPr>
        <w:t>本部分未采用对应国际标准，而是采用自主制定的技术路线，其基本原因在于有关国际标准背后昂贵的专利费。但是自2002年AVS工作组成立以来，工作组的核心成员队伍相对稳定，在视频编码技术领域已有十余年的积累，逐步掌握了先进的视频编码理论与技术创新方法；同时，在本部分的制定过程中，不断吸收本领域主流国际企业以及国内更多研究机构成为会员单位，积极参与PLC标准的制定，吸纳了一批国际先进技术。</w:t>
      </w:r>
    </w:p>
    <w:p>
      <w:pPr>
        <w:pStyle w:val="7"/>
        <w:spacing w:line="360" w:lineRule="auto"/>
        <w:ind w:firstLine="480"/>
        <w:rPr>
          <w:rFonts w:ascii="楷体_GB2312" w:hAnsi="宋体" w:eastAsia="楷体_GB2312"/>
          <w:szCs w:val="21"/>
        </w:rPr>
      </w:pPr>
      <w:r>
        <w:rPr>
          <w:rFonts w:hint="eastAsia"/>
          <w:sz w:val="24"/>
        </w:rPr>
        <w:tab/>
      </w:r>
      <w:r>
        <w:rPr>
          <w:rFonts w:hint="eastAsia"/>
          <w:sz w:val="24"/>
        </w:rPr>
        <w:t>本部分对于高清、超高清数字电视广播应用，编码效率与目前国际先进的标准DSC主观重建质量基本一致，硬件设计成本显著降低。</w:t>
      </w:r>
    </w:p>
    <w:p>
      <w:pPr>
        <w:pStyle w:val="7"/>
        <w:spacing w:line="360" w:lineRule="auto"/>
        <w:ind w:firstLine="482"/>
        <w:rPr>
          <w:rFonts w:hAnsi="宋体"/>
          <w:sz w:val="24"/>
          <w:szCs w:val="24"/>
        </w:rPr>
      </w:pPr>
      <w:r>
        <w:rPr>
          <w:rFonts w:hint="eastAsia"/>
          <w:b/>
          <w:sz w:val="24"/>
          <w:szCs w:val="24"/>
        </w:rPr>
        <w:t>七、与现行相关法律、法规、规章及相关标准的协调性</w:t>
      </w:r>
    </w:p>
    <w:p>
      <w:pPr>
        <w:spacing w:line="360" w:lineRule="auto"/>
        <w:ind w:firstLine="480" w:firstLineChars="200"/>
        <w:rPr>
          <w:rFonts w:ascii="宋体" w:hAnsi="宋体"/>
          <w:sz w:val="24"/>
        </w:rPr>
      </w:pPr>
      <w:r>
        <w:rPr>
          <w:rFonts w:hint="eastAsia" w:ascii="宋体" w:hAnsi="宋体"/>
          <w:sz w:val="24"/>
        </w:rPr>
        <w:t>本标准符合相关的现行法律、法规和规章。</w:t>
      </w:r>
    </w:p>
    <w:p>
      <w:pPr>
        <w:pStyle w:val="7"/>
        <w:spacing w:line="360" w:lineRule="auto"/>
        <w:ind w:firstLine="482"/>
        <w:rPr>
          <w:b/>
          <w:sz w:val="24"/>
          <w:szCs w:val="24"/>
        </w:rPr>
      </w:pPr>
      <w:r>
        <w:rPr>
          <w:rFonts w:hint="eastAsia"/>
          <w:b/>
          <w:sz w:val="24"/>
          <w:szCs w:val="24"/>
        </w:rPr>
        <w:t>八、重大分歧意见的处理经过和依据</w:t>
      </w:r>
    </w:p>
    <w:p>
      <w:pPr>
        <w:pStyle w:val="7"/>
        <w:spacing w:line="360" w:lineRule="auto"/>
        <w:ind w:firstLine="480"/>
        <w:rPr>
          <w:rFonts w:ascii="Times New Roman" w:hAnsi="宋体"/>
          <w:kern w:val="2"/>
          <w:sz w:val="24"/>
          <w:szCs w:val="24"/>
        </w:rPr>
      </w:pPr>
      <w:r>
        <w:rPr>
          <w:rFonts w:hint="eastAsia" w:ascii="Times New Roman" w:hAnsi="宋体"/>
          <w:kern w:val="2"/>
          <w:sz w:val="24"/>
          <w:szCs w:val="24"/>
        </w:rPr>
        <w:t>无</w:t>
      </w:r>
      <w:r>
        <w:rPr>
          <w:rFonts w:ascii="Times New Roman" w:hAnsi="宋体"/>
          <w:kern w:val="2"/>
          <w:sz w:val="24"/>
          <w:szCs w:val="24"/>
        </w:rPr>
        <w:t>。</w:t>
      </w:r>
    </w:p>
    <w:p>
      <w:pPr>
        <w:pStyle w:val="7"/>
        <w:spacing w:line="360" w:lineRule="auto"/>
        <w:ind w:firstLine="482"/>
        <w:rPr>
          <w:b/>
          <w:sz w:val="24"/>
          <w:szCs w:val="24"/>
        </w:rPr>
      </w:pPr>
      <w:r>
        <w:rPr>
          <w:rFonts w:hint="eastAsia"/>
          <w:b/>
          <w:sz w:val="24"/>
          <w:szCs w:val="24"/>
        </w:rPr>
        <w:t>九、标准性质的建议</w:t>
      </w:r>
    </w:p>
    <w:p>
      <w:pPr>
        <w:pStyle w:val="7"/>
        <w:spacing w:line="360" w:lineRule="auto"/>
        <w:ind w:firstLine="480"/>
        <w:rPr>
          <w:rFonts w:ascii="楷体_GB2312" w:eastAsia="楷体_GB2312"/>
          <w:szCs w:val="21"/>
        </w:rPr>
      </w:pPr>
      <w:r>
        <w:rPr>
          <w:rFonts w:ascii="Times New Roman" w:hAnsi="宋体"/>
          <w:kern w:val="2"/>
          <w:sz w:val="24"/>
          <w:szCs w:val="24"/>
        </w:rPr>
        <w:t>鉴于本标准的内容，建议将该标准作为推荐性</w:t>
      </w:r>
      <w:r>
        <w:rPr>
          <w:rFonts w:hint="eastAsia" w:ascii="Times New Roman" w:hAnsi="宋体"/>
          <w:kern w:val="2"/>
          <w:sz w:val="24"/>
          <w:szCs w:val="24"/>
        </w:rPr>
        <w:t>团体</w:t>
      </w:r>
      <w:r>
        <w:rPr>
          <w:rFonts w:ascii="Times New Roman" w:hAnsi="宋体"/>
          <w:kern w:val="2"/>
          <w:sz w:val="24"/>
          <w:szCs w:val="24"/>
        </w:rPr>
        <w:t>标准发布。</w:t>
      </w:r>
    </w:p>
    <w:p>
      <w:pPr>
        <w:pStyle w:val="7"/>
        <w:spacing w:line="360" w:lineRule="auto"/>
        <w:ind w:firstLine="482"/>
        <w:rPr>
          <w:b/>
          <w:sz w:val="24"/>
          <w:szCs w:val="24"/>
        </w:rPr>
      </w:pPr>
      <w:r>
        <w:rPr>
          <w:rFonts w:hint="eastAsia"/>
          <w:b/>
          <w:sz w:val="24"/>
          <w:szCs w:val="24"/>
        </w:rPr>
        <w:t>十、贯彻标准的要求和措施建议</w:t>
      </w:r>
    </w:p>
    <w:p>
      <w:pPr>
        <w:spacing w:line="360" w:lineRule="auto"/>
        <w:ind w:firstLine="480" w:firstLineChars="200"/>
        <w:rPr>
          <w:rFonts w:hint="eastAsia" w:ascii="宋体" w:hAnsi="宋体"/>
          <w:sz w:val="24"/>
        </w:rPr>
      </w:pPr>
      <w:r>
        <w:rPr>
          <w:rFonts w:hint="eastAsia" w:ascii="宋体" w:hAnsi="宋体"/>
          <w:sz w:val="24"/>
        </w:rPr>
        <w:t>应通过各类国家级科技计划和产业化项目资助，大力开展基于PLC视频编码标准的8K及以上超高清视频高速传输端口的芯片和系统开发、试验示范系统建设、直至大规模商用，扶持PLC视频信号传输产业链的形成。</w:t>
      </w:r>
    </w:p>
    <w:p>
      <w:pPr>
        <w:spacing w:line="360" w:lineRule="auto"/>
        <w:ind w:firstLine="480" w:firstLineChars="200"/>
        <w:rPr>
          <w:rFonts w:ascii="宋体" w:hAnsi="宋体"/>
          <w:sz w:val="24"/>
        </w:rPr>
      </w:pPr>
      <w:r>
        <w:rPr>
          <w:rFonts w:hint="eastAsia" w:ascii="宋体" w:hAnsi="宋体"/>
          <w:sz w:val="24"/>
        </w:rPr>
        <w:t>同时应通过一定技术手段，要求超高清视频传输、全景视频传输、智能视频监控芯片、非线性编辑、局域网、特别是智能视频监控、军事通信等领域推广使用PLC视频编码标准，一方面尽快取代老旧的无压缩视频信号传输接口，从而促进超高清视频内容的落地和推广，为公众和行业提供更高效高质量的媒体服务，让普通大众分享科技发展的红利；另一方面，也应当尽快取代国际垄断的DSC压缩技术，避免国际技术的渗透，而造成事实标准的被动局面，提高媒体生产链路的安全性、自主性。</w:t>
      </w:r>
    </w:p>
    <w:p>
      <w:pPr>
        <w:pStyle w:val="7"/>
        <w:spacing w:line="360" w:lineRule="auto"/>
        <w:ind w:firstLine="482"/>
        <w:rPr>
          <w:b/>
          <w:sz w:val="24"/>
          <w:szCs w:val="24"/>
        </w:rPr>
      </w:pPr>
      <w:r>
        <w:rPr>
          <w:rFonts w:hint="eastAsia"/>
          <w:b/>
          <w:sz w:val="24"/>
          <w:szCs w:val="24"/>
        </w:rPr>
        <w:t>十一、替代或废止现行相关标准的建议</w:t>
      </w:r>
    </w:p>
    <w:p>
      <w:pPr>
        <w:pStyle w:val="7"/>
        <w:spacing w:line="360" w:lineRule="auto"/>
        <w:ind w:firstLine="480"/>
        <w:rPr>
          <w:rFonts w:ascii="楷体_GB2312" w:eastAsia="楷体_GB2312"/>
          <w:szCs w:val="21"/>
        </w:rPr>
      </w:pPr>
      <w:r>
        <w:rPr>
          <w:rFonts w:hint="eastAsia" w:ascii="Times New Roman" w:hAnsi="宋体"/>
          <w:kern w:val="2"/>
          <w:sz w:val="24"/>
          <w:szCs w:val="24"/>
        </w:rPr>
        <w:t>无</w:t>
      </w:r>
    </w:p>
    <w:p>
      <w:pPr>
        <w:pStyle w:val="7"/>
        <w:spacing w:line="360" w:lineRule="auto"/>
        <w:ind w:firstLine="482"/>
        <w:rPr>
          <w:b/>
          <w:sz w:val="24"/>
          <w:szCs w:val="24"/>
        </w:rPr>
      </w:pPr>
      <w:r>
        <w:rPr>
          <w:rFonts w:hint="eastAsia"/>
          <w:b/>
          <w:sz w:val="24"/>
          <w:szCs w:val="24"/>
        </w:rPr>
        <w:t>十二、其他应予说明的事项</w:t>
      </w:r>
    </w:p>
    <w:p>
      <w:pPr>
        <w:pStyle w:val="7"/>
        <w:spacing w:line="360" w:lineRule="auto"/>
        <w:ind w:firstLine="480"/>
      </w:pPr>
      <w:r>
        <w:rPr>
          <w:rFonts w:hint="eastAsia" w:hAnsi="宋体"/>
          <w:sz w:val="24"/>
        </w:rPr>
        <w:t>无。</w:t>
      </w:r>
    </w:p>
    <w:p>
      <w:pPr>
        <w:spacing w:line="360" w:lineRule="auto"/>
      </w:pPr>
    </w:p>
    <w:p>
      <w:pPr>
        <w:spacing w:line="360" w:lineRule="auto"/>
        <w:jc w:val="right"/>
        <w:rPr>
          <w:rFonts w:ascii="宋体" w:hAnsi="宋体"/>
          <w:sz w:val="24"/>
        </w:rPr>
      </w:pPr>
      <w:r>
        <w:rPr>
          <w:rFonts w:hint="eastAsia" w:ascii="宋体" w:hAnsi="宋体"/>
          <w:sz w:val="24"/>
        </w:rPr>
        <w:t xml:space="preserve">                           《感知无损压缩》标准编制组</w:t>
      </w:r>
    </w:p>
    <w:p>
      <w:pPr>
        <w:spacing w:line="360" w:lineRule="auto"/>
        <w:jc w:val="right"/>
        <w:rPr>
          <w:rFonts w:ascii="宋体" w:hAnsi="宋体"/>
          <w:sz w:val="24"/>
        </w:rPr>
      </w:pPr>
      <w:r>
        <w:rPr>
          <w:rFonts w:hint="eastAsia" w:ascii="宋体" w:hAnsi="宋体"/>
          <w:sz w:val="24"/>
        </w:rPr>
        <w:t xml:space="preserve">                              20</w:t>
      </w:r>
      <w:r>
        <w:rPr>
          <w:rFonts w:ascii="宋体" w:hAnsi="宋体"/>
          <w:sz w:val="24"/>
        </w:rPr>
        <w:t>23</w:t>
      </w:r>
      <w:r>
        <w:rPr>
          <w:rFonts w:hint="eastAsia" w:ascii="宋体" w:hAnsi="宋体"/>
          <w:sz w:val="24"/>
        </w:rPr>
        <w:t>-1</w:t>
      </w:r>
      <w:r>
        <w:rPr>
          <w:rFonts w:ascii="宋体" w:hAnsi="宋体"/>
          <w:sz w:val="24"/>
        </w:rPr>
        <w:t>2</w:t>
      </w:r>
      <w:r>
        <w:rPr>
          <w:rFonts w:hint="eastAsia" w:ascii="宋体" w:hAnsi="宋体"/>
          <w:sz w:val="24"/>
        </w:rPr>
        <w:t>-0</w:t>
      </w:r>
      <w:r>
        <w:rPr>
          <w:rFonts w:ascii="宋体" w:hAnsi="宋体"/>
          <w:sz w:val="24"/>
        </w:rPr>
        <w:t>7</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47658"/>
    <w:multiLevelType w:val="singleLevel"/>
    <w:tmpl w:val="59847658"/>
    <w:lvl w:ilvl="0" w:tentative="0">
      <w:start w:val="2"/>
      <w:numFmt w:val="decimal"/>
      <w:suff w:val="nothing"/>
      <w:lvlText w:val="%1."/>
      <w:lvlJc w:val="left"/>
    </w:lvl>
  </w:abstractNum>
  <w:abstractNum w:abstractNumId="1">
    <w:nsid w:val="5DA13A58"/>
    <w:multiLevelType w:val="multilevel"/>
    <w:tmpl w:val="5DA13A5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7B767D"/>
    <w:rsid w:val="00012E45"/>
    <w:rsid w:val="00023E8C"/>
    <w:rsid w:val="000C6ECD"/>
    <w:rsid w:val="00154D48"/>
    <w:rsid w:val="001B679B"/>
    <w:rsid w:val="002333A9"/>
    <w:rsid w:val="00242DEB"/>
    <w:rsid w:val="00426435"/>
    <w:rsid w:val="004C234A"/>
    <w:rsid w:val="00602B5D"/>
    <w:rsid w:val="00616313"/>
    <w:rsid w:val="00656844"/>
    <w:rsid w:val="007442B9"/>
    <w:rsid w:val="007A7ADC"/>
    <w:rsid w:val="007B767D"/>
    <w:rsid w:val="007E2F5E"/>
    <w:rsid w:val="00842C68"/>
    <w:rsid w:val="008A2F9E"/>
    <w:rsid w:val="008F36C5"/>
    <w:rsid w:val="009E6055"/>
    <w:rsid w:val="00A84D5B"/>
    <w:rsid w:val="00A936E1"/>
    <w:rsid w:val="00C105F3"/>
    <w:rsid w:val="00C11979"/>
    <w:rsid w:val="00D461F7"/>
    <w:rsid w:val="00E70825"/>
    <w:rsid w:val="00F142DC"/>
    <w:rsid w:val="00FD736E"/>
    <w:rsid w:val="37A112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14:ligatures w14:val="none"/>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link w:val="13"/>
    <w:qFormat/>
    <w:uiPriority w:val="0"/>
    <w:pPr>
      <w:adjustRightInd/>
      <w:spacing w:before="152" w:after="360" w:line="240" w:lineRule="auto"/>
      <w:jc w:val="center"/>
    </w:pPr>
    <w:rPr>
      <w:rFonts w:ascii="Times New Roman" w:hAnsi="Times New Roman" w:cs="Arial"/>
      <w:sz w:val="18"/>
      <w:szCs w:val="20"/>
    </w:r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段"/>
    <w:link w:val="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14:ligatures w14:val="none"/>
    </w:rPr>
  </w:style>
  <w:style w:type="character" w:customStyle="1" w:styleId="8">
    <w:name w:val="段 Char"/>
    <w:link w:val="7"/>
    <w:qFormat/>
    <w:uiPriority w:val="0"/>
    <w:rPr>
      <w:rFonts w:ascii="宋体" w:hAnsi="Times New Roman" w:eastAsia="宋体" w:cs="Times New Roman"/>
      <w:kern w:val="0"/>
      <w:szCs w:val="20"/>
      <w14:ligatures w14:val="none"/>
    </w:rPr>
  </w:style>
  <w:style w:type="paragraph" w:customStyle="1" w:styleId="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14:ligatures w14:val="none"/>
    </w:rPr>
  </w:style>
  <w:style w:type="character" w:customStyle="1" w:styleId="10">
    <w:name w:val="页眉 字符"/>
    <w:basedOn w:val="6"/>
    <w:link w:val="4"/>
    <w:qFormat/>
    <w:uiPriority w:val="99"/>
    <w:rPr>
      <w:rFonts w:ascii="Calibri" w:hAnsi="Calibri" w:eastAsia="宋体" w:cs="Times New Roman"/>
      <w:sz w:val="18"/>
      <w:szCs w:val="18"/>
      <w14:ligatures w14:val="none"/>
    </w:rPr>
  </w:style>
  <w:style w:type="character" w:customStyle="1" w:styleId="11">
    <w:name w:val="页脚 字符"/>
    <w:basedOn w:val="6"/>
    <w:link w:val="3"/>
    <w:qFormat/>
    <w:uiPriority w:val="99"/>
    <w:rPr>
      <w:rFonts w:ascii="Calibri" w:hAnsi="Calibri" w:eastAsia="宋体" w:cs="Times New Roman"/>
      <w:sz w:val="18"/>
      <w:szCs w:val="18"/>
      <w14:ligatures w14:val="none"/>
    </w:rPr>
  </w:style>
  <w:style w:type="paragraph" w:styleId="12">
    <w:name w:val="List Paragraph"/>
    <w:basedOn w:val="1"/>
    <w:qFormat/>
    <w:uiPriority w:val="34"/>
    <w:pPr>
      <w:adjustRightInd/>
      <w:spacing w:line="240" w:lineRule="auto"/>
      <w:ind w:left="720"/>
      <w:contextualSpacing/>
    </w:pPr>
    <w:rPr>
      <w:rFonts w:ascii="Times New Roman" w:hAnsi="Times New Roman" w:eastAsiaTheme="minorEastAsia"/>
      <w:szCs w:val="24"/>
    </w:rPr>
  </w:style>
  <w:style w:type="character" w:customStyle="1" w:styleId="13">
    <w:name w:val="题注 字符"/>
    <w:link w:val="2"/>
    <w:qFormat/>
    <w:locked/>
    <w:uiPriority w:val="0"/>
    <w:rPr>
      <w:rFonts w:ascii="Times New Roman" w:hAnsi="Times New Roman" w:eastAsia="宋体" w:cs="Arial"/>
      <w:sz w:val="18"/>
      <w:szCs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hart" Target="charts/chart1.xml"/><Relationship Id="rId21" Type="http://schemas.openxmlformats.org/officeDocument/2006/relationships/image" Target="media/image8.emf"/><Relationship Id="rId20" Type="http://schemas.openxmlformats.org/officeDocument/2006/relationships/package" Target="embeddings/Microsoft_Visio___8.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7.vsdx"/><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D:\Users\hwren\Desktop\&#28145;&#22323;&#21152;&#20250;\&#27979;&#35797;&#32467;&#265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Sheet4!$H$10</c:f>
              <c:strCache>
                <c:ptCount val="1"/>
                <c:pt idx="0">
                  <c:v>PSNR</c:v>
                </c:pt>
              </c:strCache>
            </c:strRef>
          </c:tx>
          <c:spPr>
            <a:solidFill>
              <a:schemeClr val="accent1">
                <a:lumMod val="20000"/>
                <a:lumOff val="80000"/>
              </a:schemeClr>
            </a:solidFill>
            <a:ln>
              <a:noFill/>
            </a:ln>
            <a:effectLst/>
          </c:spPr>
          <c:invertIfNegative val="0"/>
          <c:dLbls>
            <c:delete val="1"/>
          </c:dLbls>
          <c:cat>
            <c:numRef>
              <c:f>Sheet4!$G$11:$G$37</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cat>
          <c:val>
            <c:numRef>
              <c:f>Sheet4!$H$11:$H$37</c:f>
              <c:numCache>
                <c:formatCode>0.00_ </c:formatCode>
                <c:ptCount val="27"/>
                <c:pt idx="0">
                  <c:v>49.8335832641935</c:v>
                </c:pt>
                <c:pt idx="1">
                  <c:v>49.2853664738421</c:v>
                </c:pt>
                <c:pt idx="2">
                  <c:v>38.034254227478</c:v>
                </c:pt>
                <c:pt idx="3">
                  <c:v>51.7697880082803</c:v>
                </c:pt>
                <c:pt idx="4">
                  <c:v>49.2937430434576</c:v>
                </c:pt>
                <c:pt idx="5">
                  <c:v>59.3295139766267</c:v>
                </c:pt>
                <c:pt idx="6">
                  <c:v>53.8777843102628</c:v>
                </c:pt>
                <c:pt idx="7">
                  <c:v>65.8418950480063</c:v>
                </c:pt>
                <c:pt idx="8">
                  <c:v>57.5119616662661</c:v>
                </c:pt>
                <c:pt idx="9">
                  <c:v>47.5868087983777</c:v>
                </c:pt>
                <c:pt idx="10">
                  <c:v>53.1435164173595</c:v>
                </c:pt>
                <c:pt idx="11">
                  <c:v>62.2687230081362</c:v>
                </c:pt>
                <c:pt idx="12">
                  <c:v>53.8989513454106</c:v>
                </c:pt>
                <c:pt idx="13">
                  <c:v>70.5829162943673</c:v>
                </c:pt>
                <c:pt idx="14">
                  <c:v>42.3640745222324</c:v>
                </c:pt>
                <c:pt idx="15">
                  <c:v>48.2871594184502</c:v>
                </c:pt>
                <c:pt idx="16">
                  <c:v>37.5925350580057</c:v>
                </c:pt>
                <c:pt idx="17">
                  <c:v>43.2804391368409</c:v>
                </c:pt>
                <c:pt idx="18">
                  <c:v>48.2692854117826</c:v>
                </c:pt>
                <c:pt idx="19">
                  <c:v>55.0027957330094</c:v>
                </c:pt>
                <c:pt idx="20">
                  <c:v>47.8107332708108</c:v>
                </c:pt>
                <c:pt idx="21">
                  <c:v>69.177803981735</c:v>
                </c:pt>
                <c:pt idx="22">
                  <c:v>65.0002738786386</c:v>
                </c:pt>
                <c:pt idx="23">
                  <c:v>50.3650426897826</c:v>
                </c:pt>
                <c:pt idx="24">
                  <c:v>49.1615603668824</c:v>
                </c:pt>
                <c:pt idx="25">
                  <c:v>54.9752966406844</c:v>
                </c:pt>
                <c:pt idx="26">
                  <c:v>43.7661282931508</c:v>
                </c:pt>
              </c:numCache>
            </c:numRef>
          </c:val>
        </c:ser>
        <c:dLbls>
          <c:showLegendKey val="0"/>
          <c:showVal val="0"/>
          <c:showCatName val="0"/>
          <c:showSerName val="0"/>
          <c:showPercent val="0"/>
          <c:showBubbleSize val="0"/>
        </c:dLbls>
        <c:gapWidth val="42"/>
        <c:axId val="625260767"/>
        <c:axId val="397715967"/>
      </c:barChart>
      <c:lineChart>
        <c:grouping val="standard"/>
        <c:varyColors val="0"/>
        <c:ser>
          <c:idx val="1"/>
          <c:order val="1"/>
          <c:tx>
            <c:strRef>
              <c:f>Sheet4!$I$10</c:f>
              <c:strCache>
                <c:ptCount val="1"/>
                <c:pt idx="0">
                  <c:v>未观测到差异</c:v>
                </c:pt>
              </c:strCache>
            </c:strRef>
          </c:tx>
          <c:spPr>
            <a:ln w="19050" cap="rnd">
              <a:solidFill>
                <a:schemeClr val="accent6"/>
              </a:solidFill>
              <a:round/>
            </a:ln>
            <a:effectLst/>
          </c:spPr>
          <c:marker>
            <c:symbol val="none"/>
          </c:marker>
          <c:dLbls>
            <c:delete val="1"/>
          </c:dLbls>
          <c:cat>
            <c:numRef>
              <c:f>Sheet4!$G$11:$G$37</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cat>
          <c:val>
            <c:numRef>
              <c:f>Sheet4!$I$11:$I$37</c:f>
              <c:numCache>
                <c:formatCode>General</c:formatCode>
                <c:ptCount val="27"/>
                <c:pt idx="0">
                  <c:v>15</c:v>
                </c:pt>
                <c:pt idx="1">
                  <c:v>16</c:v>
                </c:pt>
                <c:pt idx="2">
                  <c:v>9</c:v>
                </c:pt>
                <c:pt idx="3">
                  <c:v>16</c:v>
                </c:pt>
                <c:pt idx="4">
                  <c:v>14</c:v>
                </c:pt>
                <c:pt idx="5">
                  <c:v>16</c:v>
                </c:pt>
                <c:pt idx="6">
                  <c:v>16</c:v>
                </c:pt>
                <c:pt idx="7">
                  <c:v>17</c:v>
                </c:pt>
                <c:pt idx="8">
                  <c:v>16</c:v>
                </c:pt>
                <c:pt idx="9">
                  <c:v>13</c:v>
                </c:pt>
                <c:pt idx="10">
                  <c:v>13</c:v>
                </c:pt>
                <c:pt idx="11">
                  <c:v>17</c:v>
                </c:pt>
                <c:pt idx="12">
                  <c:v>15</c:v>
                </c:pt>
                <c:pt idx="13">
                  <c:v>17</c:v>
                </c:pt>
                <c:pt idx="14">
                  <c:v>14</c:v>
                </c:pt>
                <c:pt idx="15">
                  <c:v>16</c:v>
                </c:pt>
                <c:pt idx="16">
                  <c:v>0</c:v>
                </c:pt>
                <c:pt idx="17">
                  <c:v>12</c:v>
                </c:pt>
                <c:pt idx="18">
                  <c:v>14</c:v>
                </c:pt>
                <c:pt idx="19">
                  <c:v>17</c:v>
                </c:pt>
                <c:pt idx="20">
                  <c:v>15</c:v>
                </c:pt>
                <c:pt idx="21">
                  <c:v>17</c:v>
                </c:pt>
                <c:pt idx="22">
                  <c:v>16</c:v>
                </c:pt>
                <c:pt idx="23">
                  <c:v>15</c:v>
                </c:pt>
                <c:pt idx="24">
                  <c:v>13</c:v>
                </c:pt>
                <c:pt idx="25">
                  <c:v>17</c:v>
                </c:pt>
                <c:pt idx="26">
                  <c:v>12</c:v>
                </c:pt>
              </c:numCache>
            </c:numRef>
          </c:val>
          <c:smooth val="0"/>
        </c:ser>
        <c:ser>
          <c:idx val="2"/>
          <c:order val="2"/>
          <c:tx>
            <c:strRef>
              <c:f>Sheet4!$J$10</c:f>
              <c:strCache>
                <c:ptCount val="1"/>
                <c:pt idx="0">
                  <c:v>观测到闪烁</c:v>
                </c:pt>
              </c:strCache>
            </c:strRef>
          </c:tx>
          <c:spPr>
            <a:ln w="19050" cap="rnd">
              <a:solidFill>
                <a:schemeClr val="accent1"/>
              </a:solidFill>
              <a:round/>
            </a:ln>
            <a:effectLst/>
          </c:spPr>
          <c:marker>
            <c:symbol val="none"/>
          </c:marker>
          <c:dLbls>
            <c:delete val="1"/>
          </c:dLbls>
          <c:cat>
            <c:numRef>
              <c:f>Sheet4!$G$11:$G$37</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cat>
          <c:val>
            <c:numRef>
              <c:f>Sheet4!$J$11:$J$37</c:f>
              <c:numCache>
                <c:formatCode>General</c:formatCode>
                <c:ptCount val="27"/>
                <c:pt idx="0">
                  <c:v>2</c:v>
                </c:pt>
                <c:pt idx="1">
                  <c:v>1</c:v>
                </c:pt>
                <c:pt idx="2">
                  <c:v>8</c:v>
                </c:pt>
                <c:pt idx="3">
                  <c:v>1</c:v>
                </c:pt>
                <c:pt idx="4">
                  <c:v>3</c:v>
                </c:pt>
                <c:pt idx="5">
                  <c:v>1</c:v>
                </c:pt>
                <c:pt idx="6">
                  <c:v>1</c:v>
                </c:pt>
                <c:pt idx="7">
                  <c:v>0</c:v>
                </c:pt>
                <c:pt idx="8">
                  <c:v>1</c:v>
                </c:pt>
                <c:pt idx="9">
                  <c:v>4</c:v>
                </c:pt>
                <c:pt idx="10">
                  <c:v>4</c:v>
                </c:pt>
                <c:pt idx="11">
                  <c:v>0</c:v>
                </c:pt>
                <c:pt idx="12">
                  <c:v>2</c:v>
                </c:pt>
                <c:pt idx="13">
                  <c:v>0</c:v>
                </c:pt>
                <c:pt idx="14">
                  <c:v>3</c:v>
                </c:pt>
                <c:pt idx="15">
                  <c:v>1</c:v>
                </c:pt>
                <c:pt idx="16">
                  <c:v>17</c:v>
                </c:pt>
                <c:pt idx="17">
                  <c:v>5</c:v>
                </c:pt>
                <c:pt idx="18">
                  <c:v>3</c:v>
                </c:pt>
                <c:pt idx="19">
                  <c:v>0</c:v>
                </c:pt>
                <c:pt idx="20">
                  <c:v>2</c:v>
                </c:pt>
                <c:pt idx="21">
                  <c:v>0</c:v>
                </c:pt>
                <c:pt idx="22">
                  <c:v>1</c:v>
                </c:pt>
                <c:pt idx="23">
                  <c:v>2</c:v>
                </c:pt>
                <c:pt idx="24">
                  <c:v>4</c:v>
                </c:pt>
                <c:pt idx="25">
                  <c:v>0</c:v>
                </c:pt>
                <c:pt idx="26">
                  <c:v>5</c:v>
                </c:pt>
              </c:numCache>
            </c:numRef>
          </c:val>
          <c:smooth val="0"/>
        </c:ser>
        <c:ser>
          <c:idx val="3"/>
          <c:order val="3"/>
          <c:tx>
            <c:strRef>
              <c:f>Sheet4!$K$10</c:f>
              <c:strCache>
                <c:ptCount val="1"/>
                <c:pt idx="0">
                  <c:v>并排方式观测到差异</c:v>
                </c:pt>
              </c:strCache>
            </c:strRef>
          </c:tx>
          <c:spPr>
            <a:ln w="19050" cap="rnd">
              <a:solidFill>
                <a:srgbClr val="FF0000"/>
              </a:solidFill>
              <a:round/>
            </a:ln>
            <a:effectLst/>
          </c:spPr>
          <c:marker>
            <c:symbol val="none"/>
          </c:marker>
          <c:dLbls>
            <c:delete val="1"/>
          </c:dLbls>
          <c:cat>
            <c:numRef>
              <c:f>Sheet4!$G$11:$G$37</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cat>
          <c:val>
            <c:numRef>
              <c:f>Sheet4!$K$11:$K$37</c:f>
              <c:numCache>
                <c:formatCode>General</c:formatCode>
                <c:ptCount val="27"/>
                <c:pt idx="0">
                  <c:v>0</c:v>
                </c:pt>
                <c:pt idx="1">
                  <c:v>0</c:v>
                </c:pt>
                <c:pt idx="2">
                  <c:v>0</c:v>
                </c:pt>
                <c:pt idx="3">
                  <c:v>0</c:v>
                </c:pt>
                <c:pt idx="4">
                  <c:v>0</c:v>
                </c:pt>
                <c:pt idx="5">
                  <c:v>0</c:v>
                </c:pt>
                <c:pt idx="6">
                  <c:v>0</c:v>
                </c:pt>
                <c:pt idx="7">
                  <c:v>0</c:v>
                </c:pt>
                <c:pt idx="8">
                  <c:v>1</c:v>
                </c:pt>
                <c:pt idx="9">
                  <c:v>1</c:v>
                </c:pt>
                <c:pt idx="10">
                  <c:v>1</c:v>
                </c:pt>
                <c:pt idx="11">
                  <c:v>0</c:v>
                </c:pt>
                <c:pt idx="12">
                  <c:v>1</c:v>
                </c:pt>
                <c:pt idx="13">
                  <c:v>0</c:v>
                </c:pt>
                <c:pt idx="14">
                  <c:v>1</c:v>
                </c:pt>
                <c:pt idx="15">
                  <c:v>0</c:v>
                </c:pt>
                <c:pt idx="16">
                  <c:v>0</c:v>
                </c:pt>
                <c:pt idx="17">
                  <c:v>0</c:v>
                </c:pt>
                <c:pt idx="18">
                  <c:v>0</c:v>
                </c:pt>
                <c:pt idx="19">
                  <c:v>0</c:v>
                </c:pt>
                <c:pt idx="20">
                  <c:v>0</c:v>
                </c:pt>
                <c:pt idx="21">
                  <c:v>0</c:v>
                </c:pt>
                <c:pt idx="22">
                  <c:v>1</c:v>
                </c:pt>
                <c:pt idx="23">
                  <c:v>0</c:v>
                </c:pt>
                <c:pt idx="24">
                  <c:v>1</c:v>
                </c:pt>
                <c:pt idx="25">
                  <c:v>0</c:v>
                </c:pt>
                <c:pt idx="26">
                  <c:v>0</c:v>
                </c:pt>
              </c:numCache>
            </c:numRef>
          </c:val>
          <c:smooth val="0"/>
        </c:ser>
        <c:dLbls>
          <c:showLegendKey val="0"/>
          <c:showVal val="0"/>
          <c:showCatName val="0"/>
          <c:showSerName val="0"/>
          <c:showPercent val="0"/>
          <c:showBubbleSize val="0"/>
        </c:dLbls>
        <c:marker val="0"/>
        <c:smooth val="0"/>
        <c:axId val="546296575"/>
        <c:axId val="397715135"/>
      </c:lineChart>
      <c:catAx>
        <c:axId val="546296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p>
        </c:txPr>
        <c:crossAx val="397715135"/>
        <c:crosses val="autoZero"/>
        <c:auto val="1"/>
        <c:lblAlgn val="ctr"/>
        <c:lblOffset val="100"/>
        <c:noMultiLvlLbl val="0"/>
      </c:catAx>
      <c:valAx>
        <c:axId val="39771513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r>
                  <a:rPr lang="zh-CN"/>
                  <a:t>标定数量</a:t>
                </a:r>
                <a:endParaRPr lang="zh-C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p>
        </c:txPr>
        <c:crossAx val="546296575"/>
        <c:crosses val="autoZero"/>
        <c:crossBetween val="between"/>
      </c:valAx>
      <c:catAx>
        <c:axId val="625260767"/>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p>
        </c:txPr>
        <c:crossAx val="397715967"/>
        <c:crosses val="autoZero"/>
        <c:auto val="1"/>
        <c:lblAlgn val="ctr"/>
        <c:lblOffset val="100"/>
        <c:noMultiLvlLbl val="0"/>
      </c:catAx>
      <c:valAx>
        <c:axId val="397715967"/>
        <c:scaling>
          <c:orientation val="minMax"/>
        </c:scaling>
        <c:delete val="0"/>
        <c:axPos val="r"/>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r>
                  <a:rPr lang="en-US"/>
                  <a:t>PSNR (dB)</a:t>
                </a:r>
                <a:endParaRPr lang="zh-CN"/>
              </a:p>
            </c:rich>
          </c:tx>
          <c:layout/>
          <c:overlay val="0"/>
          <c:spPr>
            <a:noFill/>
            <a:ln>
              <a:noFill/>
            </a:ln>
            <a:effectLst/>
          </c:spPr>
        </c:title>
        <c:numFmt formatCode="0_ " sourceLinked="0"/>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p>
        </c:txPr>
        <c:crossAx val="625260767"/>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Times New Roman" panose="02020603050405020304" charset="0"/>
              <a:ea typeface="宋体" panose="02010600030101010101" charset="-122"/>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baseline="0">
          <a:latin typeface="Times New Roman" panose="02020603050405020304" charset="0"/>
          <a:ea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11</Pages>
  <Words>1262</Words>
  <Characters>7196</Characters>
  <Lines>59</Lines>
  <Paragraphs>16</Paragraphs>
  <TotalTime>0</TotalTime>
  <ScaleCrop>false</ScaleCrop>
  <LinksUpToDate>false</LinksUpToDate>
  <CharactersWithSpaces>8442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2023-07-02T10:09:00Z</dcterms:created>
  <dc:creator>赵 海英</dc:creator>
  <cp:lastModifiedBy>竟然有人</cp:lastModifiedBy>
  <dcterms:modified xsi:type="dcterms:W3CDTF">2023-12-08T03:45:35Z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F8242C7119B745098D94ADE1133FD3C3_12</vt:lpwstr>
  </property>
</Properties>
</file>