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bCs/>
          <w:sz w:val="32"/>
          <w:szCs w:val="32"/>
        </w:rPr>
        <w:t>团体标准《人工智能算力网络 第</w:t>
      </w:r>
      <w:r>
        <w:rPr>
          <w:rFonts w:ascii="黑体" w:hAnsi="黑体" w:eastAsia="黑体" w:cs="黑体"/>
          <w:b/>
          <w:bCs/>
          <w:sz w:val="32"/>
          <w:szCs w:val="32"/>
        </w:rPr>
        <w:t>6</w:t>
      </w:r>
      <w:r>
        <w:rPr>
          <w:rFonts w:hint="eastAsia" w:ascii="黑体" w:hAnsi="黑体" w:eastAsia="黑体" w:cs="黑体"/>
          <w:b/>
          <w:bCs/>
          <w:sz w:val="32"/>
          <w:szCs w:val="32"/>
        </w:rPr>
        <w:t>部分：云际管理与调度》编制说明</w:t>
      </w:r>
    </w:p>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工作简况</w:t>
      </w:r>
    </w:p>
    <w:p>
      <w:pPr>
        <w:spacing w:line="360" w:lineRule="auto"/>
        <w:ind w:firstLine="480" w:firstLineChars="200"/>
        <w:rPr>
          <w:rFonts w:ascii="宋体" w:hAnsi="宋体" w:eastAsia="宋体" w:cs="宋体"/>
          <w:sz w:val="24"/>
        </w:rPr>
      </w:pPr>
      <w:r>
        <w:rPr>
          <w:rFonts w:hint="eastAsia" w:ascii="宋体" w:hAnsi="宋体" w:eastAsia="宋体" w:cs="宋体"/>
          <w:sz w:val="24"/>
        </w:rPr>
        <w:t>2023年1月，根据中关村视听产业技术创新联盟2023年标准制修订计划的安排（AITISA【2</w:t>
      </w:r>
      <w:r>
        <w:rPr>
          <w:rFonts w:ascii="宋体" w:hAnsi="宋体" w:eastAsia="宋体" w:cs="宋体"/>
          <w:sz w:val="24"/>
        </w:rPr>
        <w:t>02</w:t>
      </w:r>
      <w:r>
        <w:rPr>
          <w:rFonts w:hint="eastAsia" w:ascii="宋体" w:hAnsi="宋体" w:eastAsia="宋体" w:cs="宋体"/>
          <w:sz w:val="24"/>
        </w:rPr>
        <w:t>3】1号文），下达了由鹏城实验室牵头制定团体标准《人工智能算力网络 第</w:t>
      </w:r>
      <w:r>
        <w:rPr>
          <w:rFonts w:ascii="宋体" w:hAnsi="宋体" w:eastAsia="宋体" w:cs="宋体"/>
          <w:sz w:val="24"/>
        </w:rPr>
        <w:t>6</w:t>
      </w:r>
      <w:r>
        <w:rPr>
          <w:rFonts w:hint="eastAsia" w:ascii="宋体" w:hAnsi="宋体" w:eastAsia="宋体" w:cs="宋体"/>
          <w:sz w:val="24"/>
        </w:rPr>
        <w:t>部分：云际管理与调度》（标准计划号：202301120</w:t>
      </w:r>
      <w:r>
        <w:rPr>
          <w:rFonts w:ascii="宋体" w:hAnsi="宋体" w:eastAsia="宋体" w:cs="宋体"/>
          <w:sz w:val="24"/>
        </w:rPr>
        <w:t>3</w:t>
      </w:r>
      <w:r>
        <w:rPr>
          <w:rFonts w:hint="eastAsia" w:ascii="宋体" w:hAnsi="宋体" w:eastAsia="宋体" w:cs="宋体"/>
          <w:sz w:val="24"/>
        </w:rPr>
        <w:t>）的制定任务。</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本标准工作组自202</w:t>
      </w:r>
      <w:r>
        <w:rPr>
          <w:rFonts w:ascii="宋体" w:hAnsi="宋体" w:eastAsia="宋体" w:cs="宋体"/>
          <w:sz w:val="24"/>
        </w:rPr>
        <w:t>2</w:t>
      </w:r>
      <w:r>
        <w:rPr>
          <w:rFonts w:hint="eastAsia" w:ascii="宋体" w:hAnsi="宋体" w:eastAsia="宋体" w:cs="宋体"/>
          <w:sz w:val="24"/>
        </w:rPr>
        <w:t>年</w:t>
      </w:r>
      <w:r>
        <w:rPr>
          <w:rFonts w:ascii="宋体" w:hAnsi="宋体" w:eastAsia="宋体" w:cs="宋体"/>
          <w:sz w:val="24"/>
        </w:rPr>
        <w:t>3</w:t>
      </w:r>
      <w:r>
        <w:rPr>
          <w:rFonts w:hint="eastAsia" w:ascii="宋体" w:hAnsi="宋体" w:eastAsia="宋体" w:cs="宋体"/>
          <w:sz w:val="24"/>
        </w:rPr>
        <w:t>月第1</w:t>
      </w:r>
      <w:r>
        <w:rPr>
          <w:rFonts w:ascii="宋体" w:hAnsi="宋体" w:eastAsia="宋体" w:cs="宋体"/>
          <w:sz w:val="24"/>
        </w:rPr>
        <w:t>8</w:t>
      </w:r>
      <w:r>
        <w:rPr>
          <w:rFonts w:hint="eastAsia" w:ascii="宋体" w:hAnsi="宋体" w:eastAsia="宋体" w:cs="宋体"/>
          <w:sz w:val="24"/>
        </w:rPr>
        <w:t>次会议开始，讨论启动人工智能算力网络第6部分：云际管理与调度标准制定工作，通过了《人工智能算力网络 第6部分：云际管理与调度需求》提案，并输出需求文档。2022年</w:t>
      </w:r>
      <w:r>
        <w:rPr>
          <w:rFonts w:ascii="宋体" w:hAnsi="宋体" w:eastAsia="宋体" w:cs="宋体"/>
          <w:sz w:val="24"/>
        </w:rPr>
        <w:t>6</w:t>
      </w:r>
      <w:r>
        <w:rPr>
          <w:rFonts w:hint="eastAsia" w:ascii="宋体" w:hAnsi="宋体" w:eastAsia="宋体" w:cs="宋体"/>
          <w:sz w:val="24"/>
        </w:rPr>
        <w:t>月AI标准工作组第1</w:t>
      </w:r>
      <w:r>
        <w:rPr>
          <w:rFonts w:ascii="宋体" w:hAnsi="宋体" w:eastAsia="宋体" w:cs="宋体"/>
          <w:sz w:val="24"/>
        </w:rPr>
        <w:t>9</w:t>
      </w:r>
      <w:r>
        <w:rPr>
          <w:rFonts w:hint="eastAsia" w:ascii="宋体" w:hAnsi="宋体" w:eastAsia="宋体" w:cs="宋体"/>
          <w:sz w:val="24"/>
        </w:rPr>
        <w:t>次会议通过提案征集书，输出《人工智能算力网络 第6部分：云际管理与调度 提案征集书》，会上经过讨论修改，通过了《人工智能算力网络 第6部分：云际管理与调度》草案提案，并输出《人工智能算力网络 第6部分：云际管理与调度 WD v0.1》。2022年</w:t>
      </w:r>
      <w:r>
        <w:rPr>
          <w:rFonts w:ascii="宋体" w:hAnsi="宋体" w:eastAsia="宋体" w:cs="宋体"/>
          <w:sz w:val="24"/>
        </w:rPr>
        <w:t>12</w:t>
      </w:r>
      <w:r>
        <w:rPr>
          <w:rFonts w:hint="eastAsia" w:ascii="宋体" w:hAnsi="宋体" w:eastAsia="宋体" w:cs="宋体"/>
          <w:sz w:val="24"/>
        </w:rPr>
        <w:t>月第</w:t>
      </w:r>
      <w:r>
        <w:rPr>
          <w:rFonts w:ascii="宋体" w:hAnsi="宋体" w:eastAsia="宋体" w:cs="宋体"/>
          <w:sz w:val="24"/>
        </w:rPr>
        <w:t>21</w:t>
      </w:r>
      <w:r>
        <w:rPr>
          <w:rFonts w:hint="eastAsia" w:ascii="宋体" w:hAnsi="宋体" w:eastAsia="宋体" w:cs="宋体"/>
          <w:sz w:val="24"/>
        </w:rPr>
        <w:t>次会议，会上经过讨论修改，通过了《人工智能算力网络 第6部分：云际管理与调度》草案提案，并输出《人工智能算力网络 第6部分：云际管理与调度 WD v0.</w:t>
      </w:r>
      <w:r>
        <w:rPr>
          <w:rFonts w:ascii="宋体" w:hAnsi="宋体" w:eastAsia="宋体" w:cs="宋体"/>
          <w:sz w:val="24"/>
        </w:rPr>
        <w:t>2</w:t>
      </w:r>
      <w:r>
        <w:rPr>
          <w:rFonts w:hint="eastAsia" w:ascii="宋体" w:hAnsi="宋体" w:eastAsia="宋体" w:cs="宋体"/>
          <w:sz w:val="24"/>
        </w:rPr>
        <w:t>》。202</w:t>
      </w:r>
      <w:r>
        <w:rPr>
          <w:rFonts w:ascii="宋体" w:hAnsi="宋体" w:eastAsia="宋体" w:cs="宋体"/>
          <w:sz w:val="24"/>
        </w:rPr>
        <w:t>3</w:t>
      </w:r>
      <w:r>
        <w:rPr>
          <w:rFonts w:hint="eastAsia" w:ascii="宋体" w:hAnsi="宋体" w:eastAsia="宋体" w:cs="宋体"/>
          <w:sz w:val="24"/>
        </w:rPr>
        <w:t>年</w:t>
      </w:r>
      <w:r>
        <w:rPr>
          <w:rFonts w:ascii="宋体" w:hAnsi="宋体" w:eastAsia="宋体" w:cs="宋体"/>
          <w:sz w:val="24"/>
        </w:rPr>
        <w:t>12</w:t>
      </w:r>
      <w:r>
        <w:rPr>
          <w:rFonts w:hint="eastAsia" w:ascii="宋体" w:hAnsi="宋体" w:eastAsia="宋体" w:cs="宋体"/>
          <w:sz w:val="24"/>
        </w:rPr>
        <w:t>月第</w:t>
      </w:r>
      <w:r>
        <w:rPr>
          <w:rFonts w:ascii="宋体" w:hAnsi="宋体" w:eastAsia="宋体" w:cs="宋体"/>
          <w:sz w:val="24"/>
        </w:rPr>
        <w:t>25</w:t>
      </w:r>
      <w:r>
        <w:rPr>
          <w:rFonts w:hint="eastAsia" w:ascii="宋体" w:hAnsi="宋体" w:eastAsia="宋体" w:cs="宋体"/>
          <w:sz w:val="24"/>
        </w:rPr>
        <w:t>次会议，会上经过讨论修改，通过了《人工智能算力网络 第6部分：云际管理与调度》草案提案，并输出《人工智能算力网络 第6部分：云际管理与调度 WD v0.</w:t>
      </w:r>
      <w:r>
        <w:rPr>
          <w:rFonts w:ascii="宋体" w:hAnsi="宋体" w:eastAsia="宋体" w:cs="宋体"/>
          <w:sz w:val="24"/>
        </w:rPr>
        <w:t>3</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202</w:t>
      </w:r>
      <w:r>
        <w:rPr>
          <w:rFonts w:ascii="宋体" w:hAnsi="宋体" w:eastAsia="宋体" w:cs="宋体"/>
          <w:sz w:val="24"/>
        </w:rPr>
        <w:t>4</w:t>
      </w:r>
      <w:r>
        <w:rPr>
          <w:rFonts w:hint="eastAsia" w:ascii="宋体" w:hAnsi="宋体" w:eastAsia="宋体" w:cs="宋体"/>
          <w:sz w:val="24"/>
        </w:rPr>
        <w:t>年3月，经第2</w:t>
      </w:r>
      <w:r>
        <w:rPr>
          <w:rFonts w:ascii="宋体" w:hAnsi="宋体" w:eastAsia="宋体" w:cs="宋体"/>
          <w:sz w:val="24"/>
        </w:rPr>
        <w:t>6</w:t>
      </w:r>
      <w:r>
        <w:rPr>
          <w:rFonts w:hint="eastAsia" w:ascii="宋体" w:hAnsi="宋体" w:eastAsia="宋体" w:cs="宋体"/>
          <w:sz w:val="24"/>
        </w:rPr>
        <w:t>次会议讨论，同意团体标准《人工智能算力网络 第</w:t>
      </w:r>
      <w:r>
        <w:rPr>
          <w:rFonts w:ascii="宋体" w:hAnsi="宋体" w:eastAsia="宋体" w:cs="宋体"/>
          <w:sz w:val="24"/>
        </w:rPr>
        <w:t>6</w:t>
      </w:r>
      <w:r>
        <w:rPr>
          <w:rFonts w:hint="eastAsia" w:ascii="宋体" w:hAnsi="宋体" w:eastAsia="宋体" w:cs="宋体"/>
          <w:sz w:val="24"/>
        </w:rPr>
        <w:t>部分：云际管理与调度》进入征求意见阶段，更新WD版本为0.</w:t>
      </w:r>
      <w:r>
        <w:rPr>
          <w:rFonts w:ascii="宋体" w:hAnsi="宋体" w:eastAsia="宋体" w:cs="宋体"/>
          <w:sz w:val="24"/>
        </w:rPr>
        <w:t>4</w:t>
      </w:r>
      <w:r>
        <w:rPr>
          <w:rFonts w:hint="eastAsia" w:ascii="宋体" w:hAnsi="宋体" w:eastAsia="宋体" w:cs="宋体"/>
          <w:sz w:val="24"/>
        </w:rPr>
        <w:t>，输出征求意见稿。</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本项目的主要起草单位包括鹏城实验室，北京大学，国防科技大学，华为技术有限公司，中科寒武纪科技股份有限公司。</w:t>
      </w:r>
    </w:p>
    <w:p>
      <w:pPr>
        <w:spacing w:line="360" w:lineRule="auto"/>
        <w:ind w:firstLine="480" w:firstLineChars="200"/>
        <w:rPr>
          <w:rFonts w:ascii="宋体" w:hAnsi="宋体" w:eastAsia="宋体" w:cs="宋体"/>
          <w:sz w:val="24"/>
        </w:rPr>
      </w:pPr>
      <w:r>
        <w:rPr>
          <w:rFonts w:hint="eastAsia" w:ascii="宋体" w:hAnsi="宋体" w:eastAsia="宋体" w:cs="宋体"/>
          <w:sz w:val="24"/>
        </w:rPr>
        <w:t>本项目主要起草人：余跃、徐春香、杨晓珍、林冯军、王晖、张叶红、刘敏、曾炜、樊春、聂永丰、张鹏、朱宗卫、赵轩。</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标准编制原则和确定主要内容的论据及解决的主要问题</w:t>
      </w:r>
    </w:p>
    <w:p>
      <w:pPr>
        <w:pStyle w:val="15"/>
        <w:numPr>
          <w:ilvl w:val="0"/>
          <w:numId w:val="2"/>
        </w:numPr>
        <w:spacing w:line="360" w:lineRule="auto"/>
        <w:ind w:firstLineChars="0"/>
        <w:rPr>
          <w:rFonts w:ascii="宋体" w:hAnsi="宋体" w:eastAsia="宋体" w:cs="宋体"/>
          <w:b/>
          <w:sz w:val="24"/>
        </w:rPr>
      </w:pPr>
      <w:r>
        <w:rPr>
          <w:rFonts w:hint="eastAsia" w:ascii="宋体" w:hAnsi="宋体" w:eastAsia="宋体" w:cs="宋体"/>
          <w:b/>
          <w:sz w:val="24"/>
        </w:rPr>
        <w:t>标准编制原则</w:t>
      </w:r>
    </w:p>
    <w:p>
      <w:pPr>
        <w:pStyle w:val="15"/>
        <w:spacing w:line="360" w:lineRule="auto"/>
        <w:ind w:firstLine="480"/>
        <w:rPr>
          <w:rFonts w:hAnsi="宋体"/>
          <w:color w:val="000000"/>
          <w:sz w:val="24"/>
        </w:rPr>
      </w:pPr>
      <w:r>
        <w:rPr>
          <w:rFonts w:hint="eastAsia" w:ascii="宋体" w:hAnsi="宋体" w:eastAsia="宋体" w:cs="宋体"/>
          <w:sz w:val="24"/>
        </w:rPr>
        <w:t>《人工智能算力网络 第</w:t>
      </w:r>
      <w:r>
        <w:rPr>
          <w:rFonts w:ascii="宋体" w:hAnsi="宋体" w:eastAsia="宋体" w:cs="宋体"/>
          <w:sz w:val="24"/>
        </w:rPr>
        <w:t>6</w:t>
      </w:r>
      <w:r>
        <w:rPr>
          <w:rFonts w:hint="eastAsia" w:ascii="宋体" w:hAnsi="宋体" w:eastAsia="宋体" w:cs="宋体"/>
          <w:sz w:val="24"/>
        </w:rPr>
        <w:t>部分：云际管理与调度》需适用于人工智能算力网络的云际资源共享和联通调度相关的设计和建设，</w:t>
      </w:r>
      <w:r>
        <w:rPr>
          <w:rFonts w:hint="eastAsia" w:hAnsi="宋体"/>
          <w:color w:val="000000"/>
          <w:sz w:val="24"/>
        </w:rPr>
        <w:t>符合各行业人工智能应用对算力高效互联互通的需求趋势，体现人工智能算力网络的发展水平和方向，规定的技术要求结合产学研众多单位的意见，技术要求清晰、易操作、可实现。</w:t>
      </w:r>
      <w:r>
        <w:rPr>
          <w:rFonts w:hint="eastAsia" w:ascii="宋体" w:hAnsi="宋体" w:eastAsia="宋体" w:cs="宋体"/>
          <w:sz w:val="24"/>
        </w:rPr>
        <w:t>本</w:t>
      </w:r>
      <w:r>
        <w:rPr>
          <w:rFonts w:hint="eastAsia" w:hAnsi="宋体"/>
          <w:color w:val="000000"/>
          <w:sz w:val="24"/>
        </w:rPr>
        <w:t>部分的内容遵循</w:t>
      </w:r>
      <w:r>
        <w:rPr>
          <w:rFonts w:hAnsi="宋体"/>
          <w:color w:val="000000"/>
          <w:sz w:val="24"/>
        </w:rPr>
        <w:t>T/AI 123.1—2023</w:t>
      </w:r>
      <w:r>
        <w:rPr>
          <w:rFonts w:hint="eastAsia" w:hAnsi="宋体"/>
          <w:color w:val="000000"/>
          <w:sz w:val="24"/>
        </w:rPr>
        <w:t>《人工智能算力网络</w:t>
      </w:r>
      <w:r>
        <w:rPr>
          <w:rFonts w:hAnsi="宋体"/>
          <w:color w:val="000000"/>
          <w:sz w:val="24"/>
        </w:rPr>
        <w:t xml:space="preserve"> </w:t>
      </w:r>
      <w:r>
        <w:rPr>
          <w:rFonts w:hint="eastAsia" w:hAnsi="宋体"/>
          <w:color w:val="000000"/>
          <w:sz w:val="24"/>
        </w:rPr>
        <w:t>第1部分：总体要求》中对</w:t>
      </w:r>
      <w:r>
        <w:rPr>
          <w:rFonts w:hAnsi="宋体"/>
          <w:color w:val="000000"/>
          <w:sz w:val="24"/>
        </w:rPr>
        <w:t>T/AI 123</w:t>
      </w:r>
      <w:r>
        <w:rPr>
          <w:rFonts w:hint="eastAsia" w:hAnsi="宋体"/>
          <w:color w:val="000000"/>
          <w:sz w:val="24"/>
        </w:rPr>
        <w:t>《人工智能算力网络》系列标准的规划。</w:t>
      </w:r>
    </w:p>
    <w:p>
      <w:pPr>
        <w:spacing w:line="360" w:lineRule="auto"/>
        <w:rPr>
          <w:rFonts w:ascii="宋体" w:hAnsi="宋体" w:eastAsia="宋体" w:cs="宋体"/>
          <w:b/>
          <w:sz w:val="24"/>
        </w:rPr>
      </w:pPr>
      <w:r>
        <w:rPr>
          <w:rFonts w:ascii="宋体" w:hAnsi="宋体" w:eastAsia="宋体" w:cs="宋体"/>
          <w:b/>
          <w:sz w:val="24"/>
        </w:rPr>
        <w:t xml:space="preserve">2. </w:t>
      </w:r>
      <w:r>
        <w:rPr>
          <w:rFonts w:hint="eastAsia" w:ascii="宋体" w:hAnsi="宋体" w:eastAsia="宋体" w:cs="宋体"/>
          <w:b/>
          <w:sz w:val="24"/>
        </w:rPr>
        <w:t>标准主要内容</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本标准规定了人工智能算力网络（简称“智算网络”）的云际管理与调度的软件参考架构，规定了云际资源管理和作业调度的技术要求和调度策略要求，适用于智算网络中云际管理与调度相关功能的设计和开发。</w:t>
      </w:r>
    </w:p>
    <w:p>
      <w:pPr>
        <w:spacing w:line="360" w:lineRule="auto"/>
        <w:ind w:firstLine="480" w:firstLineChars="200"/>
        <w:rPr>
          <w:rFonts w:hAnsi="宋体"/>
          <w:color w:val="000000"/>
          <w:sz w:val="24"/>
        </w:rPr>
      </w:pPr>
      <w:r>
        <w:rPr>
          <w:rFonts w:hint="eastAsia" w:ascii="宋体" w:hAnsi="宋体" w:eastAsia="宋体" w:cs="宋体"/>
          <w:sz w:val="24"/>
        </w:rPr>
        <w:t>本标准分为7个章节，</w:t>
      </w:r>
      <w:r>
        <w:rPr>
          <w:rFonts w:hint="eastAsia" w:ascii="宋体" w:hAnsi="宋体" w:eastAsia="宋体" w:cs="宋体"/>
          <w:color w:val="000000"/>
          <w:sz w:val="24"/>
        </w:rPr>
        <w:t>第1章“范围”；第2章“规范性引用文件”；第3</w:t>
      </w:r>
      <w:r>
        <w:rPr>
          <w:rFonts w:hint="eastAsia" w:ascii="宋体" w:hAnsi="宋体" w:eastAsia="宋体" w:cs="宋体"/>
          <w:sz w:val="24"/>
        </w:rPr>
        <w:t>章“术语和定义</w:t>
      </w:r>
      <w:r>
        <w:rPr>
          <w:rFonts w:hint="eastAsia" w:ascii="宋体" w:hAnsi="宋体" w:eastAsia="宋体" w:cs="宋体"/>
          <w:color w:val="000000"/>
          <w:sz w:val="24"/>
        </w:rPr>
        <w:t>”；第4章“缩略语”；第5</w:t>
      </w:r>
      <w:r>
        <w:rPr>
          <w:rFonts w:hint="eastAsia" w:ascii="宋体" w:hAnsi="宋体" w:eastAsia="宋体" w:cs="宋体"/>
          <w:sz w:val="24"/>
        </w:rPr>
        <w:t>章“软件参考架构</w:t>
      </w:r>
      <w:r>
        <w:rPr>
          <w:rFonts w:hint="eastAsia" w:ascii="宋体" w:hAnsi="宋体" w:eastAsia="宋体" w:cs="宋体"/>
          <w:color w:val="000000"/>
          <w:sz w:val="24"/>
        </w:rPr>
        <w:t>”；第6章“</w:t>
      </w:r>
      <w:r>
        <w:rPr>
          <w:rFonts w:hint="eastAsia" w:ascii="宋体" w:hAnsi="宋体" w:eastAsia="宋体" w:cs="宋体"/>
          <w:sz w:val="24"/>
        </w:rPr>
        <w:t>功能要求</w:t>
      </w:r>
      <w:r>
        <w:rPr>
          <w:rFonts w:hint="eastAsia" w:ascii="宋体" w:hAnsi="宋体" w:eastAsia="宋体" w:cs="宋体"/>
          <w:color w:val="000000"/>
          <w:sz w:val="24"/>
        </w:rPr>
        <w:t>”；第7章“</w:t>
      </w:r>
      <w:r>
        <w:rPr>
          <w:rFonts w:hint="eastAsia" w:ascii="宋体" w:hAnsi="宋体" w:eastAsia="宋体" w:cs="宋体"/>
          <w:sz w:val="24"/>
        </w:rPr>
        <w:t>接口</w:t>
      </w:r>
      <w:r>
        <w:rPr>
          <w:rFonts w:hint="eastAsia" w:ascii="宋体" w:hAnsi="宋体" w:eastAsia="宋体" w:cs="宋体"/>
          <w:color w:val="000000"/>
          <w:sz w:val="24"/>
        </w:rPr>
        <w:t>要求”。</w:t>
      </w:r>
    </w:p>
    <w:p>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第1章阐述了本</w:t>
      </w:r>
      <w:r>
        <w:rPr>
          <w:rFonts w:hint="eastAsia" w:ascii="宋体" w:hAnsi="宋体" w:eastAsia="宋体" w:cs="宋体"/>
          <w:sz w:val="24"/>
        </w:rPr>
        <w:t>标准</w:t>
      </w:r>
      <w:r>
        <w:rPr>
          <w:rFonts w:hint="eastAsia" w:ascii="宋体" w:hAnsi="宋体" w:eastAsia="宋体" w:cs="宋体"/>
          <w:color w:val="000000"/>
          <w:sz w:val="24"/>
        </w:rPr>
        <w:t>的主要内容及范围。</w:t>
      </w:r>
    </w:p>
    <w:p>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第2章说明了本</w:t>
      </w:r>
      <w:r>
        <w:rPr>
          <w:rFonts w:hint="eastAsia" w:ascii="宋体" w:hAnsi="宋体" w:eastAsia="宋体" w:cs="宋体"/>
          <w:sz w:val="24"/>
        </w:rPr>
        <w:t>标准</w:t>
      </w:r>
      <w:r>
        <w:rPr>
          <w:rFonts w:hint="eastAsia" w:ascii="宋体" w:hAnsi="宋体" w:eastAsia="宋体" w:cs="宋体"/>
          <w:color w:val="000000"/>
          <w:sz w:val="24"/>
        </w:rPr>
        <w:t>的引用文件。</w:t>
      </w:r>
    </w:p>
    <w:p>
      <w:pPr>
        <w:spacing w:line="360" w:lineRule="auto"/>
        <w:ind w:firstLine="480" w:firstLineChars="200"/>
        <w:rPr>
          <w:rFonts w:ascii="宋体" w:hAnsi="宋体" w:cs="宋体"/>
          <w:sz w:val="24"/>
        </w:rPr>
      </w:pPr>
      <w:r>
        <w:rPr>
          <w:rFonts w:hint="eastAsia" w:ascii="宋体" w:hAnsi="宋体" w:eastAsia="宋体" w:cs="宋体"/>
          <w:color w:val="000000"/>
          <w:sz w:val="24"/>
        </w:rPr>
        <w:t>第3章列出了本</w:t>
      </w:r>
      <w:r>
        <w:rPr>
          <w:rFonts w:hint="eastAsia" w:ascii="宋体" w:hAnsi="宋体" w:eastAsia="宋体" w:cs="宋体"/>
          <w:sz w:val="24"/>
        </w:rPr>
        <w:t>标准</w:t>
      </w:r>
      <w:r>
        <w:rPr>
          <w:rFonts w:hint="eastAsia" w:ascii="宋体" w:hAnsi="宋体" w:eastAsia="宋体" w:cs="宋体"/>
          <w:color w:val="000000"/>
          <w:sz w:val="24"/>
        </w:rPr>
        <w:t>中术语的引用和定义。</w:t>
      </w:r>
      <w:r>
        <w:rPr>
          <w:rFonts w:hint="eastAsia" w:ascii="宋体" w:hAnsi="宋体" w:eastAsia="宋体" w:cs="宋体"/>
          <w:sz w:val="24"/>
        </w:rPr>
        <w:t>从传统数据中心概念出发，进一步定义了“智算中心”、“智算网络”等专业术语。定义了云际管理与调度相关的“云际”、“资源”、“作业”等专业术语。</w:t>
      </w:r>
    </w:p>
    <w:p>
      <w:pPr>
        <w:spacing w:line="360" w:lineRule="auto"/>
        <w:ind w:firstLine="480" w:firstLineChars="200"/>
        <w:rPr>
          <w:rFonts w:ascii="宋体" w:hAnsi="宋体" w:cs="宋体"/>
          <w:color w:val="000000"/>
          <w:sz w:val="24"/>
        </w:rPr>
      </w:pPr>
      <w:r>
        <w:rPr>
          <w:rFonts w:hint="eastAsia" w:ascii="宋体" w:hAnsi="宋体" w:eastAsia="宋体" w:cs="宋体"/>
          <w:color w:val="000000"/>
          <w:sz w:val="24"/>
        </w:rPr>
        <w:t>第4</w:t>
      </w:r>
      <w:r>
        <w:rPr>
          <w:rFonts w:hint="eastAsia" w:ascii="宋体" w:hAnsi="宋体" w:eastAsia="宋体" w:cs="宋体"/>
          <w:sz w:val="24"/>
        </w:rPr>
        <w:t>章列出了本标准</w:t>
      </w:r>
      <w:r>
        <w:rPr>
          <w:rFonts w:hint="eastAsia" w:ascii="宋体" w:hAnsi="宋体" w:eastAsia="宋体" w:cs="宋体"/>
          <w:color w:val="000000"/>
          <w:sz w:val="24"/>
        </w:rPr>
        <w:t>涉及的缩略语。</w:t>
      </w:r>
    </w:p>
    <w:p>
      <w:pPr>
        <w:spacing w:line="360" w:lineRule="auto"/>
        <w:ind w:firstLine="480" w:firstLineChars="200"/>
        <w:rPr>
          <w:rFonts w:ascii="宋体" w:hAnsi="宋体" w:cs="宋体"/>
          <w:sz w:val="24"/>
        </w:rPr>
      </w:pPr>
      <w:r>
        <w:rPr>
          <w:rFonts w:hint="eastAsia" w:ascii="宋体" w:hAnsi="宋体" w:eastAsia="宋体" w:cs="宋体"/>
          <w:color w:val="000000"/>
          <w:sz w:val="24"/>
        </w:rPr>
        <w:t>第5章给出了</w:t>
      </w:r>
      <w:r>
        <w:rPr>
          <w:rFonts w:hint="eastAsia" w:ascii="宋体" w:hAnsi="宋体" w:eastAsia="宋体" w:cs="宋体"/>
          <w:sz w:val="24"/>
        </w:rPr>
        <w:t>智算网络调度层云际管理与调度系统的软件参考架构。</w:t>
      </w:r>
    </w:p>
    <w:p>
      <w:pPr>
        <w:spacing w:line="360" w:lineRule="auto"/>
        <w:ind w:firstLine="480" w:firstLineChars="200"/>
        <w:rPr>
          <w:rFonts w:ascii="宋体" w:hAnsi="宋体" w:cs="宋体"/>
          <w:sz w:val="24"/>
        </w:rPr>
      </w:pPr>
      <w:r>
        <w:rPr>
          <w:rFonts w:hint="eastAsia" w:ascii="宋体" w:hAnsi="宋体" w:eastAsia="宋体" w:cs="宋体"/>
          <w:color w:val="000000"/>
          <w:sz w:val="24"/>
        </w:rPr>
        <w:t>第6章</w:t>
      </w:r>
      <w:r>
        <w:rPr>
          <w:rFonts w:hint="eastAsia" w:ascii="宋体" w:hAnsi="宋体" w:eastAsia="宋体" w:cs="宋体"/>
          <w:sz w:val="24"/>
        </w:rPr>
        <w:t>提出了云际管理与调度系统的具体功能要求。</w:t>
      </w:r>
    </w:p>
    <w:p>
      <w:pPr>
        <w:spacing w:line="360" w:lineRule="auto"/>
        <w:ind w:firstLine="480" w:firstLineChars="200"/>
        <w:rPr>
          <w:rFonts w:ascii="宋体" w:hAnsi="宋体" w:eastAsia="宋体" w:cs="宋体"/>
          <w:sz w:val="24"/>
        </w:rPr>
      </w:pPr>
      <w:r>
        <w:rPr>
          <w:rFonts w:hint="eastAsia" w:ascii="宋体" w:hAnsi="宋体" w:eastAsia="宋体" w:cs="宋体"/>
          <w:sz w:val="24"/>
        </w:rPr>
        <w:t>第</w:t>
      </w:r>
      <w:r>
        <w:rPr>
          <w:rFonts w:ascii="宋体" w:hAnsi="宋体" w:eastAsia="宋体" w:cs="宋体"/>
          <w:sz w:val="24"/>
        </w:rPr>
        <w:t>7</w:t>
      </w:r>
      <w:r>
        <w:rPr>
          <w:rFonts w:hint="eastAsia" w:ascii="宋体" w:hAnsi="宋体" w:eastAsia="宋体" w:cs="宋体"/>
          <w:sz w:val="24"/>
        </w:rPr>
        <w:t>章提出了云际管理与调度系统的接口要求。。</w:t>
      </w:r>
    </w:p>
    <w:p>
      <w:pPr>
        <w:spacing w:line="360" w:lineRule="auto"/>
        <w:rPr>
          <w:rFonts w:ascii="宋体" w:hAnsi="宋体" w:eastAsia="宋体" w:cs="宋体"/>
          <w:b/>
          <w:sz w:val="24"/>
        </w:rPr>
      </w:pPr>
      <w:r>
        <w:rPr>
          <w:rFonts w:ascii="宋体" w:hAnsi="宋体" w:eastAsia="宋体" w:cs="宋体"/>
          <w:b/>
          <w:sz w:val="24"/>
        </w:rPr>
        <w:t xml:space="preserve">3. </w:t>
      </w:r>
      <w:r>
        <w:rPr>
          <w:rFonts w:hint="eastAsia" w:ascii="宋体" w:hAnsi="宋体" w:eastAsia="宋体" w:cs="宋体"/>
          <w:b/>
          <w:sz w:val="24"/>
        </w:rPr>
        <w:t>解决的主要问题</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本标准拟解决以下问题：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不同区域的人工智能算力中心在系统架构、算力芯片、存储、网络资源上存在高度异构性，如何通过标准化手段屏蔽多层次异构性，将不同类型的泛在算力资源映射到统一的量纲维度，形成业务层可理解、可阅读的统一算力资源池，为智算网络的资源匹配调度提供基础保障成为亟待解决的技术和产业问题；</w:t>
      </w:r>
    </w:p>
    <w:p>
      <w:pPr>
        <w:spacing w:line="360" w:lineRule="auto"/>
        <w:ind w:firstLine="480" w:firstLineChars="200"/>
        <w:rPr>
          <w:rFonts w:ascii="宋体" w:hAnsi="宋体" w:eastAsia="宋体" w:cs="宋体"/>
          <w:sz w:val="24"/>
        </w:rPr>
      </w:pPr>
      <w:r>
        <w:rPr>
          <w:rFonts w:hint="eastAsia" w:ascii="宋体" w:hAnsi="宋体" w:eastAsia="宋体" w:cs="宋体"/>
          <w:sz w:val="24"/>
        </w:rPr>
        <w:t>2）各智算中心内的数据要素建设相对分散，如何对数据资源进行存储、传输、权限的管理，如何与作业调度联动处理数据问题尚缺乏标准化指导；</w:t>
      </w:r>
    </w:p>
    <w:p>
      <w:pPr>
        <w:spacing w:line="360" w:lineRule="auto"/>
        <w:ind w:firstLine="480" w:firstLineChars="200"/>
        <w:rPr>
          <w:rFonts w:ascii="宋体" w:hAnsi="宋体" w:eastAsia="宋体" w:cs="宋体"/>
          <w:sz w:val="24"/>
        </w:rPr>
      </w:pPr>
      <w:r>
        <w:rPr>
          <w:rFonts w:hint="eastAsia" w:ascii="宋体" w:hAnsi="宋体" w:eastAsia="宋体" w:cs="宋体"/>
          <w:sz w:val="24"/>
        </w:rPr>
        <w:t>3）各智算中心内的资源调度参考因素（简称“调度因子”）存在多分析维度、多数据来源和多数据规格等特性，如何统一这些调度因子的标准和规格，如何结合多维度的调度因子进行综合决策而达到最优的调度决策尚缺乏标准化指导。</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主要</w:t>
      </w:r>
      <w:r>
        <w:rPr>
          <w:rFonts w:hint="eastAsia"/>
          <w:b/>
          <w:color w:val="000000"/>
          <w:sz w:val="24"/>
        </w:rPr>
        <w:t>试验</w:t>
      </w:r>
      <w:r>
        <w:rPr>
          <w:rFonts w:hint="eastAsia" w:ascii="楷体_GB2312" w:eastAsia="楷体_GB2312"/>
          <w:b/>
          <w:color w:val="000000"/>
          <w:szCs w:val="21"/>
        </w:rPr>
        <w:t>[或验证]</w:t>
      </w:r>
      <w:r>
        <w:rPr>
          <w:rFonts w:hint="eastAsia"/>
          <w:b/>
          <w:color w:val="000000"/>
          <w:sz w:val="24"/>
        </w:rPr>
        <w:t>情</w:t>
      </w:r>
      <w:r>
        <w:rPr>
          <w:rFonts w:hint="eastAsia" w:ascii="宋体" w:hAnsi="宋体" w:eastAsia="宋体" w:cs="宋体"/>
          <w:b/>
          <w:bCs/>
          <w:sz w:val="24"/>
        </w:rPr>
        <w:t>况分析</w:t>
      </w:r>
    </w:p>
    <w:p>
      <w:pPr>
        <w:spacing w:line="360" w:lineRule="auto"/>
        <w:ind w:firstLine="480" w:firstLineChars="200"/>
        <w:rPr>
          <w:rFonts w:ascii="宋体" w:hAnsi="宋体" w:eastAsia="宋体" w:cs="宋体"/>
          <w:sz w:val="24"/>
        </w:rPr>
      </w:pPr>
      <w:r>
        <w:rPr>
          <w:rFonts w:hint="eastAsia" w:ascii="宋体" w:hAnsi="宋体" w:eastAsia="宋体" w:cs="宋体"/>
          <w:sz w:val="24"/>
        </w:rPr>
        <w:t>本标准所规定的内容经过国内各大设备厂商及行业内实际研发过程中的试验和测试，已被证明确实可行。</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知识产权情况说明</w:t>
      </w:r>
    </w:p>
    <w:p>
      <w:pPr>
        <w:spacing w:line="360" w:lineRule="auto"/>
        <w:ind w:firstLine="480" w:firstLineChars="200"/>
        <w:rPr>
          <w:rFonts w:ascii="宋体" w:hAnsi="宋体" w:eastAsia="宋体" w:cs="宋体"/>
          <w:sz w:val="24"/>
        </w:rPr>
      </w:pPr>
      <w:r>
        <w:rPr>
          <w:rFonts w:hint="eastAsia" w:hAnsi="Times New Roman" w:eastAsia="宋体" w:cs="Times New Roman"/>
          <w:sz w:val="24"/>
        </w:rPr>
        <w:t>本标准不涉及任何专利及知识产权。</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采用国际标准和国外先进标准情况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本部分未采用国际标准。</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与现行相关法律、法规、规章及相关标准的协调性</w:t>
      </w:r>
    </w:p>
    <w:p>
      <w:pPr>
        <w:spacing w:line="360" w:lineRule="auto"/>
        <w:ind w:left="482"/>
        <w:rPr>
          <w:rFonts w:hAnsi="宋体"/>
          <w:color w:val="000000"/>
          <w:sz w:val="24"/>
        </w:rPr>
      </w:pPr>
      <w:r>
        <w:rPr>
          <w:rFonts w:hint="eastAsia" w:hAnsi="宋体"/>
          <w:color w:val="000000"/>
          <w:sz w:val="24"/>
        </w:rPr>
        <w:t>本标准与现行相关法律、法规、规章及相关标准协调一致。</w:t>
      </w:r>
    </w:p>
    <w:p>
      <w:pPr>
        <w:spacing w:line="360" w:lineRule="auto"/>
        <w:ind w:left="482"/>
        <w:rPr>
          <w:rFonts w:ascii="宋体" w:hAnsi="宋体" w:eastAsia="宋体" w:cs="宋体"/>
          <w:b/>
          <w:bCs/>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重大分歧意见的处理经过和依据</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标准性质的建议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建议发布为推荐性标准。</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贯彻标准的要求和措施建议</w:t>
      </w:r>
    </w:p>
    <w:p>
      <w:pPr>
        <w:spacing w:line="360" w:lineRule="auto"/>
        <w:ind w:firstLine="480" w:firstLineChars="200"/>
        <w:rPr>
          <w:rFonts w:ascii="宋体" w:hAnsi="宋体" w:eastAsia="宋体" w:cs="宋体"/>
          <w:sz w:val="24"/>
        </w:rPr>
      </w:pPr>
      <w:r>
        <w:rPr>
          <w:rFonts w:hint="eastAsia" w:ascii="宋体" w:hAnsi="宋体" w:eastAsia="宋体" w:cs="宋体"/>
          <w:sz w:val="24"/>
        </w:rPr>
        <w:t>本部分宜与</w:t>
      </w:r>
      <w:r>
        <w:rPr>
          <w:rFonts w:ascii="宋体" w:hAnsi="宋体" w:eastAsia="宋体" w:cs="宋体"/>
          <w:sz w:val="24"/>
        </w:rPr>
        <w:t>T/AI 123</w:t>
      </w:r>
      <w:r>
        <w:rPr>
          <w:rFonts w:hint="eastAsia" w:ascii="宋体" w:hAnsi="宋体" w:eastAsia="宋体" w:cs="宋体"/>
          <w:sz w:val="24"/>
        </w:rPr>
        <w:t>《人工智能算力网络》系列标准搭配使用。</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替代或废止现行相关标准的建议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p>
    <w:p>
      <w:pPr>
        <w:spacing w:line="360" w:lineRule="auto"/>
        <w:ind w:firstLine="480" w:firstLineChars="200"/>
        <w:rPr>
          <w:rFonts w:ascii="宋体" w:hAnsi="宋体" w:eastAsia="宋体" w:cs="宋体"/>
          <w:sz w:val="24"/>
        </w:rPr>
      </w:pP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其它应予说明的事项</w:t>
      </w:r>
    </w:p>
    <w:p>
      <w:pPr>
        <w:spacing w:line="360" w:lineRule="auto"/>
        <w:ind w:firstLine="480" w:firstLineChars="200"/>
        <w:rPr>
          <w:rFonts w:ascii="宋体" w:hAnsi="宋体" w:eastAsia="宋体" w:cs="宋体"/>
          <w:sz w:val="24"/>
        </w:rPr>
      </w:pPr>
      <w:r>
        <w:rPr>
          <w:rFonts w:hint="eastAsia" w:ascii="宋体" w:hAnsi="宋体" w:eastAsia="宋体" w:cs="宋体"/>
          <w:sz w:val="24"/>
        </w:rPr>
        <w:t>无。</w:t>
      </w:r>
      <w:bookmarkStart w:id="0" w:name="_GoBack"/>
      <w:bookmarkEnd w:id="0"/>
    </w:p>
    <w:p>
      <w:pPr>
        <w:spacing w:line="360" w:lineRule="auto"/>
        <w:jc w:val="right"/>
        <w:rPr>
          <w:rFonts w:ascii="宋体" w:hAnsi="宋体" w:eastAsia="宋体" w:cs="宋体"/>
          <w:sz w:val="24"/>
        </w:rPr>
      </w:pPr>
    </w:p>
    <w:p>
      <w:pPr>
        <w:spacing w:line="360" w:lineRule="auto"/>
        <w:jc w:val="right"/>
        <w:rPr>
          <w:rFonts w:ascii="宋体" w:hAnsi="宋体" w:eastAsia="宋体" w:cs="宋体"/>
          <w:sz w:val="24"/>
        </w:rPr>
      </w:pPr>
      <w:r>
        <w:rPr>
          <w:rFonts w:hint="eastAsia" w:ascii="宋体" w:hAnsi="宋体" w:eastAsia="宋体" w:cs="宋体"/>
          <w:sz w:val="24"/>
        </w:rPr>
        <w:t>团体标准《人工智能算力网络 第</w:t>
      </w:r>
      <w:r>
        <w:rPr>
          <w:rFonts w:ascii="宋体" w:hAnsi="宋体" w:eastAsia="宋体" w:cs="宋体"/>
          <w:sz w:val="24"/>
        </w:rPr>
        <w:t>6</w:t>
      </w:r>
      <w:r>
        <w:rPr>
          <w:rFonts w:hint="eastAsia" w:ascii="宋体" w:hAnsi="宋体" w:eastAsia="宋体" w:cs="宋体"/>
          <w:sz w:val="24"/>
        </w:rPr>
        <w:t>部分：云际管理与调度》编制工作组</w:t>
      </w:r>
    </w:p>
    <w:p>
      <w:pPr>
        <w:spacing w:line="360" w:lineRule="auto"/>
        <w:jc w:val="right"/>
        <w:rPr>
          <w:rFonts w:ascii="宋体" w:hAnsi="宋体" w:eastAsia="宋体" w:cs="宋体"/>
          <w:sz w:val="24"/>
        </w:rPr>
      </w:pPr>
      <w:r>
        <w:rPr>
          <w:rFonts w:hint="eastAsia" w:ascii="宋体" w:hAnsi="宋体" w:eastAsia="宋体" w:cs="宋体"/>
          <w:sz w:val="24"/>
        </w:rPr>
        <w:t>202</w:t>
      </w:r>
      <w:r>
        <w:rPr>
          <w:rFonts w:ascii="宋体" w:hAnsi="宋体" w:eastAsia="宋体" w:cs="宋体"/>
          <w:sz w:val="24"/>
        </w:rPr>
        <w:t>4</w:t>
      </w:r>
      <w:r>
        <w:rPr>
          <w:rFonts w:hint="eastAsia" w:ascii="宋体" w:hAnsi="宋体" w:eastAsia="宋体" w:cs="宋体"/>
          <w:sz w:val="24"/>
        </w:rPr>
        <w:t>-0</w:t>
      </w:r>
      <w:r>
        <w:rPr>
          <w:rFonts w:ascii="宋体" w:hAnsi="宋体" w:eastAsia="宋体" w:cs="宋体"/>
          <w:sz w:val="24"/>
        </w:rPr>
        <w:t>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2E02"/>
    <w:multiLevelType w:val="singleLevel"/>
    <w:tmpl w:val="E3FF2E02"/>
    <w:lvl w:ilvl="0" w:tentative="0">
      <w:start w:val="1"/>
      <w:numFmt w:val="chineseCounting"/>
      <w:suff w:val="nothing"/>
      <w:lvlText w:val="%1、"/>
      <w:lvlJc w:val="left"/>
      <w:rPr>
        <w:rFonts w:hint="eastAsia"/>
      </w:rPr>
    </w:lvl>
  </w:abstractNum>
  <w:abstractNum w:abstractNumId="1">
    <w:nsid w:val="64B655C4"/>
    <w:multiLevelType w:val="multilevel"/>
    <w:tmpl w:val="64B655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F0609"/>
    <w:rsid w:val="000363FA"/>
    <w:rsid w:val="0003686E"/>
    <w:rsid w:val="00047DEB"/>
    <w:rsid w:val="0006357F"/>
    <w:rsid w:val="0009052C"/>
    <w:rsid w:val="00093359"/>
    <w:rsid w:val="000A4DC1"/>
    <w:rsid w:val="000B1BB0"/>
    <w:rsid w:val="000C6F33"/>
    <w:rsid w:val="000E0683"/>
    <w:rsid w:val="000E2675"/>
    <w:rsid w:val="000E3A39"/>
    <w:rsid w:val="000E601C"/>
    <w:rsid w:val="00107BF0"/>
    <w:rsid w:val="00114606"/>
    <w:rsid w:val="00140233"/>
    <w:rsid w:val="001439A1"/>
    <w:rsid w:val="00157C38"/>
    <w:rsid w:val="001A189C"/>
    <w:rsid w:val="001B6F9D"/>
    <w:rsid w:val="001B70BB"/>
    <w:rsid w:val="001C3D9B"/>
    <w:rsid w:val="001D212C"/>
    <w:rsid w:val="002400B6"/>
    <w:rsid w:val="002425DC"/>
    <w:rsid w:val="002956A2"/>
    <w:rsid w:val="002B600A"/>
    <w:rsid w:val="002F0609"/>
    <w:rsid w:val="003142C6"/>
    <w:rsid w:val="0032641B"/>
    <w:rsid w:val="00337D09"/>
    <w:rsid w:val="00347D40"/>
    <w:rsid w:val="00376F4D"/>
    <w:rsid w:val="003E783B"/>
    <w:rsid w:val="004007F0"/>
    <w:rsid w:val="00400885"/>
    <w:rsid w:val="004170B5"/>
    <w:rsid w:val="00470E2B"/>
    <w:rsid w:val="004B3A8B"/>
    <w:rsid w:val="0052784F"/>
    <w:rsid w:val="00534FB7"/>
    <w:rsid w:val="0054590C"/>
    <w:rsid w:val="00554B2E"/>
    <w:rsid w:val="00561485"/>
    <w:rsid w:val="0059486D"/>
    <w:rsid w:val="0062169F"/>
    <w:rsid w:val="00664823"/>
    <w:rsid w:val="006D3F15"/>
    <w:rsid w:val="00715753"/>
    <w:rsid w:val="00727C92"/>
    <w:rsid w:val="00737641"/>
    <w:rsid w:val="0074052A"/>
    <w:rsid w:val="00747A6C"/>
    <w:rsid w:val="00756F5C"/>
    <w:rsid w:val="00797C3B"/>
    <w:rsid w:val="007A56BD"/>
    <w:rsid w:val="007A6DFB"/>
    <w:rsid w:val="007B5D45"/>
    <w:rsid w:val="00803D62"/>
    <w:rsid w:val="008241FB"/>
    <w:rsid w:val="00842051"/>
    <w:rsid w:val="008721DB"/>
    <w:rsid w:val="00890F6A"/>
    <w:rsid w:val="008A6F23"/>
    <w:rsid w:val="008B1DA4"/>
    <w:rsid w:val="008E1A48"/>
    <w:rsid w:val="008E36F2"/>
    <w:rsid w:val="008F2343"/>
    <w:rsid w:val="00926EC9"/>
    <w:rsid w:val="00934E17"/>
    <w:rsid w:val="00975D84"/>
    <w:rsid w:val="00982F88"/>
    <w:rsid w:val="009943B3"/>
    <w:rsid w:val="009A4AB9"/>
    <w:rsid w:val="009C7F3C"/>
    <w:rsid w:val="009E21A5"/>
    <w:rsid w:val="00A031EF"/>
    <w:rsid w:val="00A05036"/>
    <w:rsid w:val="00A15DB0"/>
    <w:rsid w:val="00A32CB2"/>
    <w:rsid w:val="00A36097"/>
    <w:rsid w:val="00A561A6"/>
    <w:rsid w:val="00A61B6E"/>
    <w:rsid w:val="00A62BD4"/>
    <w:rsid w:val="00A63907"/>
    <w:rsid w:val="00A71A8A"/>
    <w:rsid w:val="00A77252"/>
    <w:rsid w:val="00A94FFD"/>
    <w:rsid w:val="00A96018"/>
    <w:rsid w:val="00AA50FB"/>
    <w:rsid w:val="00AA7513"/>
    <w:rsid w:val="00AB3FA9"/>
    <w:rsid w:val="00AB6348"/>
    <w:rsid w:val="00AD0976"/>
    <w:rsid w:val="00AF0A56"/>
    <w:rsid w:val="00B102B2"/>
    <w:rsid w:val="00B20C37"/>
    <w:rsid w:val="00B328FD"/>
    <w:rsid w:val="00B41089"/>
    <w:rsid w:val="00B66871"/>
    <w:rsid w:val="00B6794B"/>
    <w:rsid w:val="00B74D5B"/>
    <w:rsid w:val="00B86689"/>
    <w:rsid w:val="00C15F79"/>
    <w:rsid w:val="00C338B9"/>
    <w:rsid w:val="00C519BE"/>
    <w:rsid w:val="00C62ED1"/>
    <w:rsid w:val="00C62F06"/>
    <w:rsid w:val="00C85D63"/>
    <w:rsid w:val="00CA4942"/>
    <w:rsid w:val="00CF7A4A"/>
    <w:rsid w:val="00D009BC"/>
    <w:rsid w:val="00D1050F"/>
    <w:rsid w:val="00D11471"/>
    <w:rsid w:val="00D32695"/>
    <w:rsid w:val="00D3552F"/>
    <w:rsid w:val="00D51FBE"/>
    <w:rsid w:val="00DA0D10"/>
    <w:rsid w:val="00DA328F"/>
    <w:rsid w:val="00DC4C3D"/>
    <w:rsid w:val="00DF19D9"/>
    <w:rsid w:val="00E30CB3"/>
    <w:rsid w:val="00E40C97"/>
    <w:rsid w:val="00E4500A"/>
    <w:rsid w:val="00E65CE7"/>
    <w:rsid w:val="00E84433"/>
    <w:rsid w:val="00E86681"/>
    <w:rsid w:val="00E90450"/>
    <w:rsid w:val="00EA0D32"/>
    <w:rsid w:val="00EA1BDF"/>
    <w:rsid w:val="00EE45A7"/>
    <w:rsid w:val="00F1100A"/>
    <w:rsid w:val="00F13963"/>
    <w:rsid w:val="00F16BA3"/>
    <w:rsid w:val="00F353FE"/>
    <w:rsid w:val="00F36099"/>
    <w:rsid w:val="00F47A82"/>
    <w:rsid w:val="00F83F46"/>
    <w:rsid w:val="00F947D1"/>
    <w:rsid w:val="00FD632E"/>
    <w:rsid w:val="00FD6D21"/>
    <w:rsid w:val="03575C81"/>
    <w:rsid w:val="05CF7F7D"/>
    <w:rsid w:val="090E293E"/>
    <w:rsid w:val="0C2558FC"/>
    <w:rsid w:val="0E801663"/>
    <w:rsid w:val="118E286E"/>
    <w:rsid w:val="139E0D62"/>
    <w:rsid w:val="162419F3"/>
    <w:rsid w:val="190F698A"/>
    <w:rsid w:val="1AE20774"/>
    <w:rsid w:val="1C935B8E"/>
    <w:rsid w:val="21627873"/>
    <w:rsid w:val="25F0369F"/>
    <w:rsid w:val="2E990845"/>
    <w:rsid w:val="2F8135BA"/>
    <w:rsid w:val="31CB7703"/>
    <w:rsid w:val="38D155B2"/>
    <w:rsid w:val="3A3C6A5B"/>
    <w:rsid w:val="3A52002D"/>
    <w:rsid w:val="3A6036E3"/>
    <w:rsid w:val="3B7F4E52"/>
    <w:rsid w:val="3B934DA1"/>
    <w:rsid w:val="3C6329C5"/>
    <w:rsid w:val="3CAC4825"/>
    <w:rsid w:val="3E2611A5"/>
    <w:rsid w:val="40B16B92"/>
    <w:rsid w:val="43813731"/>
    <w:rsid w:val="4392466E"/>
    <w:rsid w:val="43F9776B"/>
    <w:rsid w:val="449C6A74"/>
    <w:rsid w:val="451600FD"/>
    <w:rsid w:val="4791488A"/>
    <w:rsid w:val="480A0199"/>
    <w:rsid w:val="48C540C0"/>
    <w:rsid w:val="49227764"/>
    <w:rsid w:val="498443C6"/>
    <w:rsid w:val="49DE6A8D"/>
    <w:rsid w:val="4C900C50"/>
    <w:rsid w:val="4EE72FE2"/>
    <w:rsid w:val="534A3B3F"/>
    <w:rsid w:val="53B51901"/>
    <w:rsid w:val="5ABD553F"/>
    <w:rsid w:val="5B6559BA"/>
    <w:rsid w:val="5C87131E"/>
    <w:rsid w:val="5DC56BE4"/>
    <w:rsid w:val="60A96349"/>
    <w:rsid w:val="628F5A13"/>
    <w:rsid w:val="636D4CB4"/>
    <w:rsid w:val="67470882"/>
    <w:rsid w:val="681744E0"/>
    <w:rsid w:val="6BAC4F3F"/>
    <w:rsid w:val="6E2E7E8E"/>
    <w:rsid w:val="6F6873CF"/>
    <w:rsid w:val="733A72D5"/>
    <w:rsid w:val="7CB43C54"/>
    <w:rsid w:val="7D4C0330"/>
    <w:rsid w:val="7E9D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Wingdings" w:hAnsi="Wingdings" w:eastAsia="Wingdings" w:cs="Wingdings"/>
      <w:kern w:val="0"/>
      <w:sz w:val="24"/>
    </w:rPr>
  </w:style>
  <w:style w:type="paragraph" w:styleId="7">
    <w:name w:val="annotation subject"/>
    <w:basedOn w:val="2"/>
    <w:next w:val="2"/>
    <w:link w:val="18"/>
    <w:uiPriority w:val="0"/>
    <w:rPr>
      <w:b/>
      <w:bCs/>
    </w:rPr>
  </w:style>
  <w:style w:type="character" w:styleId="10">
    <w:name w:val="annotation reference"/>
    <w:basedOn w:val="9"/>
    <w:qFormat/>
    <w:uiPriority w:val="0"/>
    <w:rPr>
      <w:sz w:val="21"/>
      <w:szCs w:val="21"/>
    </w:rPr>
  </w:style>
  <w:style w:type="paragraph" w:customStyle="1" w:styleId="11">
    <w:name w:val="段"/>
    <w:link w:val="16"/>
    <w:qFormat/>
    <w:uiPriority w:val="0"/>
    <w:pPr>
      <w:tabs>
        <w:tab w:val="center" w:pos="4201"/>
        <w:tab w:val="right" w:leader="dot" w:pos="9298"/>
      </w:tabs>
      <w:autoSpaceDE w:val="0"/>
      <w:autoSpaceDN w:val="0"/>
      <w:ind w:firstLine="420" w:firstLineChars="200"/>
      <w:jc w:val="both"/>
    </w:pPr>
    <w:rPr>
      <w:rFonts w:ascii="Wingdings" w:hAnsi="Cambria Math" w:eastAsia="宋体" w:cs="Cambria Math"/>
      <w:sz w:val="21"/>
      <w:lang w:val="en-US" w:eastAsia="zh-CN" w:bidi="ar-SA"/>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页脚 字符"/>
    <w:basedOn w:val="9"/>
    <w:link w:val="4"/>
    <w:uiPriority w:val="0"/>
    <w:rPr>
      <w:rFonts w:asciiTheme="minorHAnsi" w:hAnsiTheme="minorHAnsi" w:eastAsiaTheme="minorEastAsia" w:cstheme="minorBidi"/>
      <w:kern w:val="2"/>
      <w:sz w:val="18"/>
      <w:szCs w:val="18"/>
    </w:rPr>
  </w:style>
  <w:style w:type="paragraph" w:styleId="15">
    <w:name w:val="List Paragraph"/>
    <w:basedOn w:val="1"/>
    <w:uiPriority w:val="99"/>
    <w:pPr>
      <w:ind w:firstLine="420" w:firstLineChars="200"/>
    </w:pPr>
  </w:style>
  <w:style w:type="character" w:customStyle="1" w:styleId="16">
    <w:name w:val="段 Char"/>
    <w:link w:val="11"/>
    <w:qFormat/>
    <w:uiPriority w:val="0"/>
    <w:rPr>
      <w:rFonts w:ascii="Wingdings" w:hAnsi="Cambria Math" w:cs="Cambria Math"/>
      <w:sz w:val="21"/>
    </w:rPr>
  </w:style>
  <w:style w:type="character" w:customStyle="1" w:styleId="17">
    <w:name w:val="批注文字 字符"/>
    <w:basedOn w:val="9"/>
    <w:link w:val="2"/>
    <w:uiPriority w:val="0"/>
    <w:rPr>
      <w:rFonts w:asciiTheme="minorHAnsi" w:hAnsiTheme="minorHAnsi" w:eastAsiaTheme="minorEastAsia" w:cstheme="minorBidi"/>
      <w:kern w:val="2"/>
      <w:sz w:val="21"/>
      <w:szCs w:val="24"/>
    </w:rPr>
  </w:style>
  <w:style w:type="character" w:customStyle="1" w:styleId="18">
    <w:name w:val="批注主题 字符"/>
    <w:basedOn w:val="17"/>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308</Words>
  <Characters>1758</Characters>
  <Lines>14</Lines>
  <Paragraphs>4</Paragraphs>
  <TotalTime>258</TotalTime>
  <ScaleCrop>false</ScaleCrop>
  <LinksUpToDate>false</LinksUpToDate>
  <CharactersWithSpaces>2062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2023-04-27T06:30:00Z</dcterms:created>
  <dc:creator>lkf</dc:creator>
  <cp:lastModifiedBy>竟然有人</cp:lastModifiedBy>
  <dcterms:modified xsi:type="dcterms:W3CDTF">2024-05-13T07:55:15Z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2A71AE2EA66141209F44EFB7C1ED6D2A_13</vt:lpwstr>
  </property>
</Properties>
</file>