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Arial"/>
          <w:sz w:val="32"/>
          <w:szCs w:val="24"/>
        </w:rPr>
      </w:pPr>
      <w:bookmarkStart w:id="3" w:name="_GoBack"/>
      <w:bookmarkEnd w:id="3"/>
      <w:r>
        <w:rPr>
          <w:rFonts w:hint="eastAsia" w:ascii="黑体" w:hAnsi="黑体" w:eastAsia="黑体" w:cs="Arial"/>
          <w:sz w:val="32"/>
          <w:szCs w:val="24"/>
        </w:rPr>
        <w:t>《基于区块链的视频系统可信赖规范》</w:t>
      </w:r>
    </w:p>
    <w:p>
      <w:pPr>
        <w:jc w:val="center"/>
        <w:rPr>
          <w:rFonts w:ascii="黑体" w:hAnsi="黑体" w:eastAsia="黑体" w:cs="Arial"/>
          <w:sz w:val="32"/>
          <w:szCs w:val="24"/>
        </w:rPr>
      </w:pPr>
      <w:r>
        <w:rPr>
          <w:rFonts w:hint="eastAsia" w:ascii="黑体" w:hAnsi="黑体" w:eastAsia="黑体" w:cs="Arial"/>
          <w:sz w:val="32"/>
          <w:szCs w:val="24"/>
        </w:rPr>
        <w:t>（征求意见稿）编制说明</w:t>
      </w:r>
    </w:p>
    <w:p>
      <w:pPr>
        <w:keepNext/>
        <w:keepLines/>
        <w:spacing w:before="340" w:after="330" w:line="576" w:lineRule="auto"/>
        <w:outlineLvl w:val="0"/>
        <w:rPr>
          <w:rFonts w:ascii="Times New Roman" w:hAnsi="Times New Roman" w:eastAsia="黑体" w:cs="Times New Roman"/>
          <w:kern w:val="44"/>
          <w:sz w:val="28"/>
          <w:szCs w:val="44"/>
        </w:rPr>
      </w:pPr>
      <w:r>
        <w:rPr>
          <w:rFonts w:ascii="Times New Roman" w:hAnsi="Times New Roman" w:eastAsia="黑体" w:cs="Times New Roman"/>
          <w:kern w:val="44"/>
          <w:sz w:val="28"/>
          <w:szCs w:val="44"/>
        </w:rPr>
        <w:t>1</w:t>
      </w:r>
      <w:r>
        <w:rPr>
          <w:rFonts w:hint="eastAsia" w:ascii="Times New Roman" w:hAnsi="Times New Roman" w:eastAsia="黑体" w:cs="Times New Roman"/>
          <w:kern w:val="44"/>
          <w:sz w:val="28"/>
          <w:szCs w:val="44"/>
        </w:rPr>
        <w:t>、工作简况</w:t>
      </w:r>
    </w:p>
    <w:p>
      <w:pPr>
        <w:widowControl/>
        <w:tabs>
          <w:tab w:val="center" w:pos="4201"/>
          <w:tab w:val="right" w:leader="dot" w:pos="9298"/>
        </w:tabs>
        <w:autoSpaceDE w:val="0"/>
        <w:autoSpaceDN w:val="0"/>
        <w:spacing w:line="360" w:lineRule="auto"/>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根据中关村视听产业技术创新联盟</w:t>
      </w:r>
      <w:r>
        <w:rPr>
          <w:rFonts w:ascii="宋体" w:hAnsi="宋体" w:eastAsia="宋体" w:cs="Times New Roman"/>
          <w:kern w:val="0"/>
          <w:sz w:val="24"/>
          <w:szCs w:val="24"/>
        </w:rPr>
        <w:t>2021</w:t>
      </w:r>
      <w:r>
        <w:rPr>
          <w:rFonts w:hint="eastAsia" w:ascii="宋体" w:hAnsi="宋体" w:eastAsia="宋体" w:cs="Times New Roman"/>
          <w:kern w:val="0"/>
          <w:sz w:val="24"/>
          <w:szCs w:val="24"/>
        </w:rPr>
        <w:t>年标准制修订计划的安排，下达了由海信集团控股股份有限公司牵头制定团体标准《基于区块链的视频系统可信赖规范》的任务。</w:t>
      </w:r>
    </w:p>
    <w:p>
      <w:pPr>
        <w:widowControl/>
        <w:tabs>
          <w:tab w:val="center" w:pos="4201"/>
          <w:tab w:val="right" w:leader="dot" w:pos="9298"/>
        </w:tabs>
        <w:autoSpaceDE w:val="0"/>
        <w:autoSpaceDN w:val="0"/>
        <w:spacing w:line="360" w:lineRule="auto"/>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新一代人工智能产业技术创新战略联盟</w:t>
      </w:r>
      <w:r>
        <w:rPr>
          <w:rFonts w:ascii="宋体" w:hAnsi="宋体" w:eastAsia="宋体" w:cs="Times New Roman"/>
          <w:kern w:val="0"/>
          <w:sz w:val="24"/>
          <w:szCs w:val="24"/>
        </w:rPr>
        <w:t>AI</w:t>
      </w:r>
      <w:r>
        <w:rPr>
          <w:rFonts w:hint="eastAsia" w:ascii="宋体" w:hAnsi="宋体" w:eastAsia="宋体" w:cs="Times New Roman"/>
          <w:kern w:val="0"/>
          <w:sz w:val="24"/>
          <w:szCs w:val="24"/>
        </w:rPr>
        <w:t>标准工作组数据隐私保护组由新一代人工智能产业技术创新战略联盟于</w:t>
      </w:r>
      <w:r>
        <w:rPr>
          <w:rFonts w:ascii="宋体" w:hAnsi="宋体" w:eastAsia="宋体" w:cs="Times New Roman"/>
          <w:kern w:val="0"/>
          <w:sz w:val="24"/>
          <w:szCs w:val="24"/>
        </w:rPr>
        <w:t>2018</w:t>
      </w:r>
      <w:r>
        <w:rPr>
          <w:rFonts w:hint="eastAsia" w:ascii="宋体" w:hAnsi="宋体" w:eastAsia="宋体" w:cs="Times New Roman"/>
          <w:kern w:val="0"/>
          <w:sz w:val="24"/>
          <w:szCs w:val="24"/>
        </w:rPr>
        <w:t>年批准成立。工作组的任务是：面向我国的人工智能数据隐私保护需求，联合国内企业和科研机构，制（修）订由</w:t>
      </w:r>
      <w:r>
        <w:rPr>
          <w:rFonts w:ascii="宋体" w:hAnsi="宋体" w:eastAsia="宋体" w:cs="Times New Roman"/>
          <w:kern w:val="0"/>
          <w:sz w:val="24"/>
          <w:szCs w:val="24"/>
        </w:rPr>
        <w:t>AI</w:t>
      </w:r>
      <w:r>
        <w:rPr>
          <w:rFonts w:hint="eastAsia" w:ascii="宋体" w:hAnsi="宋体" w:eastAsia="宋体" w:cs="Times New Roman"/>
          <w:kern w:val="0"/>
          <w:sz w:val="24"/>
          <w:szCs w:val="24"/>
        </w:rPr>
        <w:t>技术应用涉及到的数据隐私保护共性技术标准，为人工智能产品与应用提供规范健全的数据隐私保护标准，服务于智能家电、智能音响、边缘计算设备、服务架构等涉及用户数据隐私的</w:t>
      </w:r>
      <w:r>
        <w:rPr>
          <w:rFonts w:ascii="宋体" w:hAnsi="宋体" w:eastAsia="宋体" w:cs="Times New Roman"/>
          <w:kern w:val="0"/>
          <w:sz w:val="24"/>
          <w:szCs w:val="24"/>
        </w:rPr>
        <w:t>AI</w:t>
      </w:r>
      <w:r>
        <w:rPr>
          <w:rFonts w:hint="eastAsia" w:ascii="宋体" w:hAnsi="宋体" w:eastAsia="宋体" w:cs="Times New Roman"/>
          <w:kern w:val="0"/>
          <w:sz w:val="24"/>
          <w:szCs w:val="24"/>
        </w:rPr>
        <w:t>产业应用。</w:t>
      </w:r>
    </w:p>
    <w:p>
      <w:pPr>
        <w:widowControl/>
        <w:tabs>
          <w:tab w:val="center" w:pos="4201"/>
          <w:tab w:val="right" w:leader="dot" w:pos="9298"/>
        </w:tabs>
        <w:autoSpaceDE w:val="0"/>
        <w:autoSpaceDN w:val="0"/>
        <w:spacing w:line="360" w:lineRule="auto"/>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人工智能、大数据等技术的迅速发展和产业化应用，极大地提升了原有产品和服务的智能化能力，同时也催生了很多的新业态。让原本受限于地域、空间的业务和活动能够在线完成和实现，例如远程视频问诊、智能交通监控等。智能化应用在给人们带来便利、提升效率和服务质量的同时，也伴随着出现了很多问题，其中数据的安全和个人隐私的保护便是人们重点关注的问题之一。人工智能技术一方面让许多原本价值低、数据量大的信</w:t>
      </w:r>
      <w:r>
        <w:rPr>
          <w:rFonts w:ascii="宋体" w:hAnsi="宋体" w:eastAsia="宋体" w:cs="Times New Roman"/>
          <w:kern w:val="0"/>
          <w:sz w:val="24"/>
          <w:szCs w:val="24"/>
        </w:rPr>
        <w:t>息变得更有价值，另一方面在不同的应用场景中可能会不可避免地收集个人信息，因此信息的泄露会给用户造成极大的危害和困扰。除此之外</w:t>
      </w:r>
      <w:r>
        <w:rPr>
          <w:rFonts w:hint="eastAsia" w:ascii="宋体" w:hAnsi="宋体" w:eastAsia="宋体" w:cs="Times New Roman"/>
          <w:kern w:val="0"/>
          <w:sz w:val="24"/>
          <w:szCs w:val="24"/>
        </w:rPr>
        <w:t>，还面临着数据孤岛和数据可信的问题，如数据不互通制约了数据可用性，数据不可信，信息难溯源等。如何在保证数据的高效可用性的前提下，实现数据的可信、可溯源、高效应用、安全使用，成为当下亟待解决的问题。</w:t>
      </w:r>
    </w:p>
    <w:p>
      <w:pPr>
        <w:widowControl/>
        <w:tabs>
          <w:tab w:val="center" w:pos="4201"/>
          <w:tab w:val="right" w:leader="dot" w:pos="9298"/>
        </w:tabs>
        <w:autoSpaceDE w:val="0"/>
        <w:autoSpaceDN w:val="0"/>
        <w:spacing w:line="360" w:lineRule="auto"/>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基于区块链的视频系统可信赖规范》规定了基于区块链技术的视频分享、交互的可信赖要求。结合交通、医疗、教育、政务、娱乐等领域的视频系统场景应用，明确系统相关技术框架、功能和可信赖要求。有效利用区块链的去中心化、匿名化、不可篡改性、可追溯性，建立基于区块链的视频系统可信赖技术标准。充分融合人工智能与区块链的优势，解决“互联网</w:t>
      </w:r>
      <w:r>
        <w:rPr>
          <w:rFonts w:ascii="宋体" w:hAnsi="宋体" w:eastAsia="宋体" w:cs="Times New Roman"/>
          <w:kern w:val="0"/>
          <w:sz w:val="24"/>
          <w:szCs w:val="24"/>
        </w:rPr>
        <w:t>+大数据”时代的信息隐私泄漏、数据不可信、信息难溯源等问题，特别是满足视频交互、分享等场景的相关技术需求。本文件适用于基于区块链视频系统的设计、应用及测试。</w:t>
      </w:r>
    </w:p>
    <w:p>
      <w:pPr>
        <w:keepNext/>
        <w:keepLines/>
        <w:spacing w:before="340" w:after="330" w:line="576" w:lineRule="auto"/>
        <w:outlineLvl w:val="0"/>
        <w:rPr>
          <w:rFonts w:ascii="黑体" w:hAnsi="黑体" w:eastAsia="黑体" w:cs="Times New Roman"/>
          <w:kern w:val="44"/>
          <w:sz w:val="28"/>
          <w:szCs w:val="44"/>
        </w:rPr>
      </w:pPr>
      <w:r>
        <w:rPr>
          <w:rFonts w:ascii="黑体" w:hAnsi="黑体" w:eastAsia="黑体" w:cs="Times New Roman"/>
          <w:kern w:val="44"/>
          <w:sz w:val="28"/>
          <w:szCs w:val="44"/>
        </w:rPr>
        <w:t>2</w:t>
      </w:r>
      <w:r>
        <w:rPr>
          <w:rFonts w:hint="eastAsia" w:ascii="黑体" w:hAnsi="黑体" w:eastAsia="黑体" w:cs="Times New Roman"/>
          <w:kern w:val="44"/>
          <w:sz w:val="28"/>
          <w:szCs w:val="44"/>
        </w:rPr>
        <w:t>、制定过程</w:t>
      </w:r>
    </w:p>
    <w:p>
      <w:pPr>
        <w:widowControl/>
        <w:tabs>
          <w:tab w:val="center" w:pos="4201"/>
          <w:tab w:val="right" w:leader="dot" w:pos="9298"/>
        </w:tabs>
        <w:autoSpaceDE w:val="0"/>
        <w:autoSpaceDN w:val="0"/>
        <w:spacing w:line="360" w:lineRule="auto"/>
        <w:ind w:firstLine="480" w:firstLineChars="200"/>
        <w:rPr>
          <w:rFonts w:ascii="宋体" w:hAnsi="宋体" w:eastAsia="宋体" w:cs="Times New Roman"/>
          <w:kern w:val="0"/>
          <w:sz w:val="24"/>
          <w:szCs w:val="24"/>
        </w:rPr>
      </w:pPr>
      <w:r>
        <w:rPr>
          <w:rFonts w:ascii="宋体" w:hAnsi="宋体" w:eastAsia="宋体" w:cs="Times New Roman"/>
          <w:kern w:val="0"/>
          <w:sz w:val="24"/>
          <w:szCs w:val="24"/>
        </w:rPr>
        <w:t>2021</w:t>
      </w:r>
      <w:r>
        <w:rPr>
          <w:rFonts w:hint="eastAsia" w:ascii="宋体" w:hAnsi="宋体" w:eastAsia="宋体" w:cs="Times New Roman"/>
          <w:kern w:val="0"/>
          <w:sz w:val="24"/>
          <w:szCs w:val="24"/>
        </w:rPr>
        <w:t>年</w:t>
      </w:r>
      <w:r>
        <w:rPr>
          <w:rFonts w:ascii="宋体" w:hAnsi="宋体" w:eastAsia="宋体" w:cs="Times New Roman"/>
          <w:kern w:val="0"/>
          <w:sz w:val="24"/>
          <w:szCs w:val="24"/>
        </w:rPr>
        <w:t>8</w:t>
      </w:r>
      <w:r>
        <w:rPr>
          <w:rFonts w:hint="eastAsia" w:ascii="宋体" w:hAnsi="宋体" w:eastAsia="宋体" w:cs="Times New Roman"/>
          <w:kern w:val="0"/>
          <w:sz w:val="24"/>
          <w:szCs w:val="24"/>
        </w:rPr>
        <w:t>月</w:t>
      </w:r>
      <w:r>
        <w:rPr>
          <w:rFonts w:ascii="宋体" w:hAnsi="宋体" w:eastAsia="宋体" w:cs="Times New Roman"/>
          <w:kern w:val="0"/>
          <w:sz w:val="24"/>
          <w:szCs w:val="24"/>
        </w:rPr>
        <w:t>AI</w:t>
      </w:r>
      <w:r>
        <w:rPr>
          <w:rFonts w:hint="eastAsia" w:ascii="宋体" w:hAnsi="宋体" w:eastAsia="宋体" w:cs="Times New Roman"/>
          <w:kern w:val="0"/>
          <w:sz w:val="24"/>
          <w:szCs w:val="24"/>
        </w:rPr>
        <w:t>隐私工作组第</w:t>
      </w:r>
      <w:r>
        <w:rPr>
          <w:rFonts w:ascii="宋体" w:hAnsi="宋体" w:eastAsia="宋体" w:cs="Times New Roman"/>
          <w:kern w:val="0"/>
          <w:sz w:val="24"/>
          <w:szCs w:val="24"/>
        </w:rPr>
        <w:t>12</w:t>
      </w:r>
      <w:r>
        <w:rPr>
          <w:rFonts w:hint="eastAsia" w:ascii="宋体" w:hAnsi="宋体" w:eastAsia="宋体" w:cs="Times New Roman"/>
          <w:kern w:val="0"/>
          <w:sz w:val="24"/>
          <w:szCs w:val="24"/>
        </w:rPr>
        <w:t>次会议通过《基于区块链的视频系统可信赖规范》提案，</w:t>
      </w:r>
      <w:r>
        <w:rPr>
          <w:rFonts w:ascii="宋体" w:hAnsi="宋体" w:eastAsia="宋体" w:cs="Times New Roman"/>
          <w:kern w:val="0"/>
          <w:sz w:val="24"/>
          <w:szCs w:val="24"/>
        </w:rPr>
        <w:t>2021</w:t>
      </w:r>
      <w:r>
        <w:rPr>
          <w:rFonts w:hint="eastAsia" w:ascii="宋体" w:hAnsi="宋体" w:eastAsia="宋体" w:cs="Times New Roman"/>
          <w:kern w:val="0"/>
          <w:sz w:val="24"/>
          <w:szCs w:val="24"/>
        </w:rPr>
        <w:t>年</w:t>
      </w:r>
      <w:r>
        <w:rPr>
          <w:rFonts w:ascii="宋体" w:hAnsi="宋体" w:eastAsia="宋体" w:cs="Times New Roman"/>
          <w:kern w:val="0"/>
          <w:sz w:val="24"/>
          <w:szCs w:val="24"/>
        </w:rPr>
        <w:t>11</w:t>
      </w:r>
      <w:r>
        <w:rPr>
          <w:rFonts w:hint="eastAsia" w:ascii="宋体" w:hAnsi="宋体" w:eastAsia="宋体" w:cs="Times New Roman"/>
          <w:kern w:val="0"/>
          <w:sz w:val="24"/>
          <w:szCs w:val="24"/>
        </w:rPr>
        <w:t>月标准正式立项，</w:t>
      </w:r>
      <w:r>
        <w:rPr>
          <w:rFonts w:hint="eastAsia" w:ascii="宋体" w:hAnsi="宋体" w:eastAsia="宋体" w:cs="Times New Roman"/>
          <w:kern w:val="0"/>
          <w:sz w:val="24"/>
          <w:szCs w:val="24"/>
          <w:lang w:val="en-US" w:eastAsia="zh-CN"/>
        </w:rPr>
        <w:t>标准计划号</w:t>
      </w:r>
      <w:r>
        <w:rPr>
          <w:rFonts w:hint="eastAsia" w:ascii="宋体" w:hAnsi="宋体" w:eastAsia="宋体" w:cs="Times New Roman"/>
          <w:kern w:val="0"/>
          <w:sz w:val="24"/>
          <w:szCs w:val="24"/>
        </w:rPr>
        <w:t>为</w:t>
      </w:r>
      <w:r>
        <w:rPr>
          <w:rFonts w:ascii="宋体" w:hAnsi="宋体" w:eastAsia="宋体" w:cs="Times New Roman"/>
          <w:kern w:val="0"/>
          <w:sz w:val="24"/>
          <w:szCs w:val="24"/>
        </w:rPr>
        <w:t>2021110301</w:t>
      </w:r>
      <w:r>
        <w:rPr>
          <w:rFonts w:hint="eastAsia" w:ascii="宋体" w:hAnsi="宋体" w:eastAsia="宋体" w:cs="Times New Roman"/>
          <w:kern w:val="0"/>
          <w:sz w:val="24"/>
          <w:szCs w:val="24"/>
        </w:rPr>
        <w:t>。</w:t>
      </w:r>
      <w:r>
        <w:rPr>
          <w:rFonts w:ascii="宋体" w:hAnsi="宋体" w:eastAsia="宋体" w:cs="Times New Roman"/>
          <w:kern w:val="0"/>
          <w:sz w:val="24"/>
          <w:szCs w:val="24"/>
        </w:rPr>
        <w:t>2024</w:t>
      </w:r>
      <w:r>
        <w:rPr>
          <w:rFonts w:hint="eastAsia" w:ascii="宋体" w:hAnsi="宋体" w:eastAsia="宋体" w:cs="Times New Roman"/>
          <w:kern w:val="0"/>
          <w:sz w:val="24"/>
          <w:szCs w:val="24"/>
        </w:rPr>
        <w:t>年</w:t>
      </w:r>
      <w:r>
        <w:rPr>
          <w:rFonts w:ascii="宋体" w:hAnsi="宋体" w:eastAsia="宋体" w:cs="Times New Roman"/>
          <w:kern w:val="0"/>
          <w:sz w:val="24"/>
          <w:szCs w:val="24"/>
        </w:rPr>
        <w:t>3</w:t>
      </w:r>
      <w:r>
        <w:rPr>
          <w:rFonts w:hint="eastAsia" w:ascii="宋体" w:hAnsi="宋体" w:eastAsia="宋体" w:cs="Times New Roman"/>
          <w:kern w:val="0"/>
          <w:sz w:val="24"/>
          <w:szCs w:val="24"/>
        </w:rPr>
        <w:t>月在</w:t>
      </w:r>
      <w:r>
        <w:rPr>
          <w:rFonts w:ascii="宋体" w:hAnsi="宋体" w:eastAsia="宋体" w:cs="Times New Roman"/>
          <w:kern w:val="0"/>
          <w:sz w:val="24"/>
          <w:szCs w:val="24"/>
        </w:rPr>
        <w:t>AI</w:t>
      </w:r>
      <w:r>
        <w:rPr>
          <w:rFonts w:hint="eastAsia" w:ascii="宋体" w:hAnsi="宋体" w:eastAsia="宋体" w:cs="Times New Roman"/>
          <w:kern w:val="0"/>
          <w:sz w:val="24"/>
          <w:szCs w:val="24"/>
        </w:rPr>
        <w:t>第</w:t>
      </w:r>
      <w:r>
        <w:rPr>
          <w:rFonts w:ascii="宋体" w:hAnsi="宋体" w:eastAsia="宋体" w:cs="Times New Roman"/>
          <w:kern w:val="0"/>
          <w:sz w:val="24"/>
          <w:szCs w:val="24"/>
        </w:rPr>
        <w:t>26</w:t>
      </w:r>
      <w:r>
        <w:rPr>
          <w:rFonts w:hint="eastAsia" w:ascii="宋体" w:hAnsi="宋体" w:eastAsia="宋体" w:cs="Times New Roman"/>
          <w:kern w:val="0"/>
          <w:sz w:val="24"/>
          <w:szCs w:val="24"/>
        </w:rPr>
        <w:t>次标准会议数据隐私保护组会议上，条件采纳</w:t>
      </w:r>
      <w:r>
        <w:rPr>
          <w:rFonts w:ascii="宋体" w:hAnsi="宋体" w:eastAsia="宋体" w:cs="Times New Roman"/>
          <w:kern w:val="0"/>
          <w:sz w:val="24"/>
          <w:szCs w:val="24"/>
        </w:rPr>
        <w:t>M1946</w:t>
      </w:r>
      <w:r>
        <w:rPr>
          <w:rFonts w:hint="eastAsia" w:ascii="宋体" w:hAnsi="宋体" w:eastAsia="宋体" w:cs="Times New Roman"/>
          <w:kern w:val="0"/>
          <w:sz w:val="24"/>
          <w:szCs w:val="24"/>
        </w:rPr>
        <w:t>（即</w:t>
      </w:r>
      <w:r>
        <w:rPr>
          <w:rFonts w:ascii="宋体" w:hAnsi="宋体" w:eastAsia="宋体" w:cs="Times New Roman"/>
          <w:kern w:val="0"/>
          <w:sz w:val="24"/>
          <w:szCs w:val="24"/>
        </w:rPr>
        <w:t>WD2.7</w:t>
      </w:r>
      <w:r>
        <w:rPr>
          <w:rFonts w:hint="eastAsia" w:ascii="宋体" w:hAnsi="宋体" w:eastAsia="宋体" w:cs="Times New Roman"/>
          <w:kern w:val="0"/>
          <w:sz w:val="24"/>
          <w:szCs w:val="24"/>
        </w:rPr>
        <w:t>），要求根据工作组意见做修改，形成征求意见稿。</w:t>
      </w:r>
    </w:p>
    <w:p>
      <w:pPr>
        <w:widowControl/>
        <w:tabs>
          <w:tab w:val="center" w:pos="4201"/>
          <w:tab w:val="right" w:leader="dot" w:pos="9298"/>
        </w:tabs>
        <w:autoSpaceDE w:val="0"/>
        <w:autoSpaceDN w:val="0"/>
        <w:spacing w:line="360" w:lineRule="auto"/>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自</w:t>
      </w:r>
      <w:r>
        <w:rPr>
          <w:rFonts w:ascii="宋体" w:hAnsi="宋体" w:eastAsia="宋体" w:cs="Times New Roman"/>
          <w:kern w:val="0"/>
          <w:sz w:val="24"/>
          <w:szCs w:val="24"/>
        </w:rPr>
        <w:t>2021</w:t>
      </w:r>
      <w:r>
        <w:rPr>
          <w:rFonts w:hint="eastAsia" w:ascii="宋体" w:hAnsi="宋体" w:eastAsia="宋体" w:cs="Times New Roman"/>
          <w:kern w:val="0"/>
          <w:sz w:val="24"/>
          <w:szCs w:val="24"/>
        </w:rPr>
        <w:t>年</w:t>
      </w:r>
      <w:r>
        <w:rPr>
          <w:rFonts w:ascii="宋体" w:hAnsi="宋体" w:eastAsia="宋体" w:cs="Times New Roman"/>
          <w:kern w:val="0"/>
          <w:sz w:val="24"/>
          <w:szCs w:val="24"/>
        </w:rPr>
        <w:t>12</w:t>
      </w:r>
      <w:r>
        <w:rPr>
          <w:rFonts w:hint="eastAsia" w:ascii="宋体" w:hAnsi="宋体" w:eastAsia="宋体" w:cs="Times New Roman"/>
          <w:kern w:val="0"/>
          <w:sz w:val="24"/>
          <w:szCs w:val="24"/>
        </w:rPr>
        <w:t>月第</w:t>
      </w:r>
      <w:r>
        <w:rPr>
          <w:rFonts w:ascii="宋体" w:hAnsi="宋体" w:eastAsia="宋体" w:cs="Times New Roman"/>
          <w:kern w:val="0"/>
          <w:sz w:val="24"/>
          <w:szCs w:val="24"/>
        </w:rPr>
        <w:t>13</w:t>
      </w:r>
      <w:r>
        <w:rPr>
          <w:rFonts w:hint="eastAsia" w:ascii="宋体" w:hAnsi="宋体" w:eastAsia="宋体" w:cs="Times New Roman"/>
          <w:kern w:val="0"/>
          <w:sz w:val="24"/>
          <w:szCs w:val="24"/>
        </w:rPr>
        <w:t>次会议，决议采纳标准提案，并形成草案后，工作组召开了</w:t>
      </w:r>
      <w:r>
        <w:rPr>
          <w:rFonts w:ascii="宋体" w:hAnsi="宋体" w:eastAsia="宋体" w:cs="Times New Roman"/>
          <w:kern w:val="0"/>
          <w:sz w:val="24"/>
          <w:szCs w:val="24"/>
        </w:rPr>
        <w:t>7</w:t>
      </w:r>
      <w:r>
        <w:rPr>
          <w:rFonts w:hint="eastAsia" w:ascii="宋体" w:hAnsi="宋体" w:eastAsia="宋体" w:cs="Times New Roman"/>
          <w:kern w:val="0"/>
          <w:sz w:val="24"/>
          <w:szCs w:val="24"/>
        </w:rPr>
        <w:t>次（</w:t>
      </w:r>
      <w:r>
        <w:rPr>
          <w:rFonts w:ascii="宋体" w:hAnsi="宋体" w:eastAsia="宋体" w:cs="Times New Roman"/>
          <w:kern w:val="0"/>
          <w:sz w:val="24"/>
          <w:szCs w:val="24"/>
        </w:rPr>
        <w:t>2022</w:t>
      </w:r>
      <w:r>
        <w:rPr>
          <w:rFonts w:hint="eastAsia" w:ascii="宋体" w:hAnsi="宋体" w:eastAsia="宋体" w:cs="Times New Roman"/>
          <w:kern w:val="0"/>
          <w:sz w:val="24"/>
          <w:szCs w:val="24"/>
        </w:rPr>
        <w:t>年</w:t>
      </w:r>
      <w:r>
        <w:rPr>
          <w:rFonts w:ascii="宋体" w:hAnsi="宋体" w:eastAsia="宋体" w:cs="Times New Roman"/>
          <w:kern w:val="0"/>
          <w:sz w:val="24"/>
          <w:szCs w:val="24"/>
        </w:rPr>
        <w:t>3</w:t>
      </w:r>
      <w:r>
        <w:rPr>
          <w:rFonts w:hint="eastAsia" w:ascii="宋体" w:hAnsi="宋体" w:eastAsia="宋体" w:cs="Times New Roman"/>
          <w:kern w:val="0"/>
          <w:sz w:val="24"/>
          <w:szCs w:val="24"/>
        </w:rPr>
        <w:t>月、</w:t>
      </w:r>
      <w:r>
        <w:rPr>
          <w:rFonts w:ascii="宋体" w:hAnsi="宋体" w:eastAsia="宋体" w:cs="Times New Roman"/>
          <w:kern w:val="0"/>
          <w:sz w:val="24"/>
          <w:szCs w:val="24"/>
        </w:rPr>
        <w:t>2022</w:t>
      </w:r>
      <w:r>
        <w:rPr>
          <w:rFonts w:hint="eastAsia" w:ascii="宋体" w:hAnsi="宋体" w:eastAsia="宋体" w:cs="Times New Roman"/>
          <w:kern w:val="0"/>
          <w:sz w:val="24"/>
          <w:szCs w:val="24"/>
        </w:rPr>
        <w:t>年</w:t>
      </w:r>
      <w:r>
        <w:rPr>
          <w:rFonts w:ascii="宋体" w:hAnsi="宋体" w:eastAsia="宋体" w:cs="Times New Roman"/>
          <w:kern w:val="0"/>
          <w:sz w:val="24"/>
          <w:szCs w:val="24"/>
        </w:rPr>
        <w:t>12</w:t>
      </w:r>
      <w:r>
        <w:rPr>
          <w:rFonts w:hint="eastAsia" w:ascii="宋体" w:hAnsi="宋体" w:eastAsia="宋体" w:cs="Times New Roman"/>
          <w:kern w:val="0"/>
          <w:sz w:val="24"/>
          <w:szCs w:val="24"/>
        </w:rPr>
        <w:t>月、</w:t>
      </w:r>
      <w:r>
        <w:rPr>
          <w:rFonts w:ascii="宋体" w:hAnsi="宋体" w:eastAsia="宋体" w:cs="Times New Roman"/>
          <w:kern w:val="0"/>
          <w:sz w:val="24"/>
          <w:szCs w:val="24"/>
        </w:rPr>
        <w:t>2023</w:t>
      </w:r>
      <w:r>
        <w:rPr>
          <w:rFonts w:hint="eastAsia" w:ascii="宋体" w:hAnsi="宋体" w:eastAsia="宋体" w:cs="Times New Roman"/>
          <w:kern w:val="0"/>
          <w:sz w:val="24"/>
          <w:szCs w:val="24"/>
        </w:rPr>
        <w:t>年</w:t>
      </w:r>
      <w:r>
        <w:rPr>
          <w:rFonts w:ascii="宋体" w:hAnsi="宋体" w:eastAsia="宋体" w:cs="Times New Roman"/>
          <w:kern w:val="0"/>
          <w:sz w:val="24"/>
          <w:szCs w:val="24"/>
        </w:rPr>
        <w:t>3</w:t>
      </w:r>
      <w:r>
        <w:rPr>
          <w:rFonts w:hint="eastAsia" w:ascii="宋体" w:hAnsi="宋体" w:eastAsia="宋体" w:cs="Times New Roman"/>
          <w:kern w:val="0"/>
          <w:sz w:val="24"/>
          <w:szCs w:val="24"/>
        </w:rPr>
        <w:t>月、</w:t>
      </w:r>
      <w:r>
        <w:rPr>
          <w:rFonts w:ascii="宋体" w:hAnsi="宋体" w:eastAsia="宋体" w:cs="Times New Roman"/>
          <w:kern w:val="0"/>
          <w:sz w:val="24"/>
          <w:szCs w:val="24"/>
        </w:rPr>
        <w:t>2023</w:t>
      </w:r>
      <w:r>
        <w:rPr>
          <w:rFonts w:hint="eastAsia" w:ascii="宋体" w:hAnsi="宋体" w:eastAsia="宋体" w:cs="Times New Roman"/>
          <w:kern w:val="0"/>
          <w:sz w:val="24"/>
          <w:szCs w:val="24"/>
        </w:rPr>
        <w:t>年</w:t>
      </w:r>
      <w:r>
        <w:rPr>
          <w:rFonts w:ascii="宋体" w:hAnsi="宋体" w:eastAsia="宋体" w:cs="Times New Roman"/>
          <w:kern w:val="0"/>
          <w:sz w:val="24"/>
          <w:szCs w:val="24"/>
        </w:rPr>
        <w:t>6</w:t>
      </w:r>
      <w:r>
        <w:rPr>
          <w:rFonts w:hint="eastAsia" w:ascii="宋体" w:hAnsi="宋体" w:eastAsia="宋体" w:cs="Times New Roman"/>
          <w:kern w:val="0"/>
          <w:sz w:val="24"/>
          <w:szCs w:val="24"/>
        </w:rPr>
        <w:t>月、</w:t>
      </w:r>
      <w:r>
        <w:rPr>
          <w:rFonts w:ascii="宋体" w:hAnsi="宋体" w:eastAsia="宋体" w:cs="Times New Roman"/>
          <w:kern w:val="0"/>
          <w:sz w:val="24"/>
          <w:szCs w:val="24"/>
        </w:rPr>
        <w:t>2023</w:t>
      </w:r>
      <w:r>
        <w:rPr>
          <w:rFonts w:hint="eastAsia" w:ascii="宋体" w:hAnsi="宋体" w:eastAsia="宋体" w:cs="Times New Roman"/>
          <w:kern w:val="0"/>
          <w:sz w:val="24"/>
          <w:szCs w:val="24"/>
        </w:rPr>
        <w:t>年</w:t>
      </w:r>
      <w:r>
        <w:rPr>
          <w:rFonts w:ascii="宋体" w:hAnsi="宋体" w:eastAsia="宋体" w:cs="Times New Roman"/>
          <w:kern w:val="0"/>
          <w:sz w:val="24"/>
          <w:szCs w:val="24"/>
        </w:rPr>
        <w:t>12</w:t>
      </w:r>
      <w:r>
        <w:rPr>
          <w:rFonts w:hint="eastAsia" w:ascii="宋体" w:hAnsi="宋体" w:eastAsia="宋体" w:cs="Times New Roman"/>
          <w:kern w:val="0"/>
          <w:sz w:val="24"/>
          <w:szCs w:val="24"/>
        </w:rPr>
        <w:t>月、</w:t>
      </w:r>
      <w:r>
        <w:rPr>
          <w:rFonts w:ascii="宋体" w:hAnsi="宋体" w:eastAsia="宋体" w:cs="Times New Roman"/>
          <w:kern w:val="0"/>
          <w:sz w:val="24"/>
          <w:szCs w:val="24"/>
        </w:rPr>
        <w:t>2024</w:t>
      </w:r>
      <w:r>
        <w:rPr>
          <w:rFonts w:hint="eastAsia" w:ascii="宋体" w:hAnsi="宋体" w:eastAsia="宋体" w:cs="Times New Roman"/>
          <w:kern w:val="0"/>
          <w:sz w:val="24"/>
          <w:szCs w:val="24"/>
        </w:rPr>
        <w:t>年</w:t>
      </w:r>
      <w:r>
        <w:rPr>
          <w:rFonts w:ascii="宋体" w:hAnsi="宋体" w:eastAsia="宋体" w:cs="Times New Roman"/>
          <w:kern w:val="0"/>
          <w:sz w:val="24"/>
          <w:szCs w:val="24"/>
        </w:rPr>
        <w:t>3</w:t>
      </w:r>
      <w:r>
        <w:rPr>
          <w:rFonts w:hint="eastAsia" w:ascii="宋体" w:hAnsi="宋体" w:eastAsia="宋体" w:cs="Times New Roman"/>
          <w:kern w:val="0"/>
          <w:sz w:val="24"/>
          <w:szCs w:val="24"/>
        </w:rPr>
        <w:t>月、</w:t>
      </w:r>
      <w:r>
        <w:rPr>
          <w:rFonts w:ascii="宋体" w:hAnsi="宋体" w:eastAsia="宋体" w:cs="Times New Roman"/>
          <w:kern w:val="0"/>
          <w:sz w:val="24"/>
          <w:szCs w:val="24"/>
        </w:rPr>
        <w:t>2024</w:t>
      </w:r>
      <w:r>
        <w:rPr>
          <w:rFonts w:hint="eastAsia" w:ascii="宋体" w:hAnsi="宋体" w:eastAsia="宋体" w:cs="Times New Roman"/>
          <w:kern w:val="0"/>
          <w:sz w:val="24"/>
          <w:szCs w:val="24"/>
        </w:rPr>
        <w:t>年</w:t>
      </w:r>
      <w:r>
        <w:rPr>
          <w:rFonts w:ascii="宋体" w:hAnsi="宋体" w:eastAsia="宋体" w:cs="Times New Roman"/>
          <w:kern w:val="0"/>
          <w:sz w:val="24"/>
          <w:szCs w:val="24"/>
        </w:rPr>
        <w:t>6</w:t>
      </w:r>
      <w:r>
        <w:rPr>
          <w:rFonts w:hint="eastAsia" w:ascii="宋体" w:hAnsi="宋体" w:eastAsia="宋体" w:cs="Times New Roman"/>
          <w:kern w:val="0"/>
          <w:sz w:val="24"/>
          <w:szCs w:val="24"/>
        </w:rPr>
        <w:t>月）全体会议，主要形成以下会议决议：</w:t>
      </w:r>
    </w:p>
    <w:p>
      <w:pPr>
        <w:numPr>
          <w:ilvl w:val="0"/>
          <w:numId w:val="1"/>
        </w:numPr>
        <w:tabs>
          <w:tab w:val="center" w:pos="4201"/>
          <w:tab w:val="right" w:leader="dot" w:pos="9298"/>
        </w:tabs>
        <w:autoSpaceDE w:val="0"/>
        <w:autoSpaceDN w:val="0"/>
        <w:spacing w:line="360" w:lineRule="auto"/>
        <w:rPr>
          <w:rFonts w:ascii="宋体" w:hAnsi="宋体" w:eastAsia="宋体" w:cs="Times New Roman"/>
          <w:kern w:val="0"/>
          <w:sz w:val="24"/>
          <w:szCs w:val="24"/>
        </w:rPr>
      </w:pPr>
      <w:r>
        <w:rPr>
          <w:rFonts w:hint="eastAsia" w:ascii="宋体" w:hAnsi="宋体" w:eastAsia="宋体" w:cs="Times New Roman"/>
          <w:kern w:val="0"/>
          <w:sz w:val="24"/>
          <w:szCs w:val="24"/>
        </w:rPr>
        <w:t>提出可信视频系统基础框架、监管和审计要求</w:t>
      </w:r>
      <w:r>
        <w:rPr>
          <w:rFonts w:hint="eastAsia" w:ascii="宋体" w:hAnsi="宋体" w:eastAsia="宋体"/>
          <w:sz w:val="24"/>
          <w:szCs w:val="24"/>
        </w:rPr>
        <w:t>；</w:t>
      </w:r>
    </w:p>
    <w:p>
      <w:pPr>
        <w:widowControl/>
        <w:numPr>
          <w:ilvl w:val="0"/>
          <w:numId w:val="1"/>
        </w:numPr>
        <w:tabs>
          <w:tab w:val="center" w:pos="4201"/>
          <w:tab w:val="right" w:leader="dot" w:pos="9298"/>
        </w:tabs>
        <w:autoSpaceDE w:val="0"/>
        <w:autoSpaceDN w:val="0"/>
        <w:spacing w:line="360" w:lineRule="auto"/>
        <w:rPr>
          <w:rFonts w:ascii="宋体" w:hAnsi="宋体" w:eastAsia="宋体" w:cs="Times New Roman"/>
          <w:kern w:val="0"/>
          <w:sz w:val="24"/>
          <w:szCs w:val="20"/>
        </w:rPr>
      </w:pPr>
      <w:r>
        <w:rPr>
          <w:rFonts w:hint="eastAsia" w:ascii="宋体" w:hAnsi="宋体" w:eastAsia="宋体" w:cs="Times New Roman"/>
          <w:kern w:val="0"/>
          <w:sz w:val="24"/>
          <w:szCs w:val="20"/>
        </w:rPr>
        <w:t>明确标准内容及适用范围：包含视频系统的框架、功能等要求；不包含硬件的技术要</w:t>
      </w:r>
      <w:r>
        <w:rPr>
          <w:rFonts w:hint="eastAsia" w:ascii="宋体" w:hAnsi="宋体" w:eastAsia="宋体" w:cs="Times New Roman"/>
          <w:kern w:val="0"/>
          <w:sz w:val="24"/>
          <w:szCs w:val="24"/>
        </w:rPr>
        <w:t>求。</w:t>
      </w:r>
      <w:r>
        <w:rPr>
          <w:rFonts w:hint="eastAsia" w:ascii="宋体" w:hAnsi="宋体" w:eastAsia="宋体"/>
          <w:sz w:val="24"/>
          <w:szCs w:val="24"/>
        </w:rPr>
        <w:t>适用于基于区块链视频系统的设计、应用及测试。</w:t>
      </w:r>
    </w:p>
    <w:p>
      <w:pPr>
        <w:widowControl/>
        <w:numPr>
          <w:ilvl w:val="0"/>
          <w:numId w:val="1"/>
        </w:numPr>
        <w:tabs>
          <w:tab w:val="center" w:pos="4201"/>
          <w:tab w:val="right" w:leader="dot" w:pos="9298"/>
        </w:tabs>
        <w:autoSpaceDE w:val="0"/>
        <w:autoSpaceDN w:val="0"/>
        <w:spacing w:line="360" w:lineRule="auto"/>
        <w:rPr>
          <w:rFonts w:ascii="宋体" w:hAnsi="宋体" w:eastAsia="宋体" w:cs="Times New Roman"/>
          <w:kern w:val="0"/>
          <w:sz w:val="24"/>
          <w:szCs w:val="20"/>
        </w:rPr>
      </w:pPr>
      <w:r>
        <w:rPr>
          <w:rFonts w:hint="eastAsia" w:ascii="宋体" w:hAnsi="宋体" w:eastAsia="宋体" w:cs="Times New Roman"/>
          <w:kern w:val="0"/>
          <w:sz w:val="24"/>
          <w:szCs w:val="20"/>
        </w:rPr>
        <w:t>增加系统的可信赖要求：实时性、可备份性、安全性、隐私保护性、可控性、可追溯性等；</w:t>
      </w:r>
    </w:p>
    <w:p>
      <w:pPr>
        <w:widowControl/>
        <w:numPr>
          <w:ilvl w:val="0"/>
          <w:numId w:val="1"/>
        </w:numPr>
        <w:tabs>
          <w:tab w:val="center" w:pos="4201"/>
          <w:tab w:val="right" w:leader="dot" w:pos="9298"/>
        </w:tabs>
        <w:autoSpaceDE w:val="0"/>
        <w:autoSpaceDN w:val="0"/>
        <w:spacing w:line="360" w:lineRule="auto"/>
        <w:rPr>
          <w:rFonts w:ascii="宋体" w:hAnsi="宋体" w:eastAsia="宋体" w:cs="Times New Roman"/>
          <w:kern w:val="0"/>
          <w:sz w:val="24"/>
          <w:szCs w:val="20"/>
        </w:rPr>
      </w:pPr>
      <w:r>
        <w:rPr>
          <w:rFonts w:hint="eastAsia" w:ascii="宋体" w:hAnsi="宋体" w:eastAsia="宋体" w:cs="Times New Roman"/>
          <w:kern w:val="0"/>
          <w:sz w:val="24"/>
          <w:szCs w:val="20"/>
        </w:rPr>
        <w:t>调整系统架构、并完善每一层功能及技术要求：将区块链层放到最底层、能力层放中间、应用层放最顶层；</w:t>
      </w:r>
    </w:p>
    <w:p>
      <w:pPr>
        <w:widowControl/>
        <w:numPr>
          <w:ilvl w:val="0"/>
          <w:numId w:val="1"/>
        </w:numPr>
        <w:tabs>
          <w:tab w:val="center" w:pos="4201"/>
          <w:tab w:val="right" w:leader="dot" w:pos="9298"/>
        </w:tabs>
        <w:autoSpaceDE w:val="0"/>
        <w:autoSpaceDN w:val="0"/>
        <w:spacing w:line="360" w:lineRule="auto"/>
        <w:rPr>
          <w:rFonts w:ascii="宋体" w:hAnsi="宋体" w:eastAsia="宋体" w:cs="Times New Roman"/>
          <w:kern w:val="0"/>
          <w:sz w:val="24"/>
          <w:szCs w:val="24"/>
        </w:rPr>
      </w:pPr>
      <w:r>
        <w:rPr>
          <w:rFonts w:hint="eastAsia" w:ascii="宋体" w:hAnsi="宋体" w:eastAsia="宋体" w:cs="Times New Roman"/>
          <w:kern w:val="0"/>
          <w:sz w:val="24"/>
          <w:szCs w:val="20"/>
        </w:rPr>
        <w:t>增加跨链互操作的可信赖技术要求；</w:t>
      </w:r>
    </w:p>
    <w:p>
      <w:pPr>
        <w:widowControl/>
        <w:numPr>
          <w:ilvl w:val="0"/>
          <w:numId w:val="1"/>
        </w:numPr>
        <w:tabs>
          <w:tab w:val="center" w:pos="4201"/>
          <w:tab w:val="right" w:leader="dot" w:pos="9298"/>
        </w:tabs>
        <w:autoSpaceDE w:val="0"/>
        <w:autoSpaceDN w:val="0"/>
        <w:spacing w:line="360" w:lineRule="auto"/>
        <w:rPr>
          <w:rFonts w:ascii="宋体" w:hAnsi="宋体" w:eastAsia="宋体" w:cs="Times New Roman"/>
          <w:kern w:val="0"/>
          <w:sz w:val="24"/>
          <w:szCs w:val="24"/>
        </w:rPr>
      </w:pPr>
      <w:r>
        <w:rPr>
          <w:rFonts w:hint="eastAsia" w:ascii="宋体" w:hAnsi="宋体" w:eastAsia="宋体" w:cs="Times New Roman"/>
          <w:kern w:val="0"/>
          <w:sz w:val="24"/>
          <w:szCs w:val="20"/>
        </w:rPr>
        <w:t>按照</w:t>
      </w:r>
      <w:r>
        <w:rPr>
          <w:rFonts w:ascii="宋体" w:hAnsi="宋体" w:eastAsia="宋体" w:cs="Times New Roman"/>
          <w:kern w:val="0"/>
          <w:sz w:val="24"/>
          <w:szCs w:val="20"/>
        </w:rPr>
        <w:t>GB/T 1.1-2020</w:t>
      </w:r>
      <w:r>
        <w:rPr>
          <w:rFonts w:hint="eastAsia" w:ascii="宋体" w:hAnsi="宋体" w:eastAsia="宋体" w:cs="Times New Roman"/>
          <w:kern w:val="0"/>
          <w:sz w:val="24"/>
          <w:szCs w:val="20"/>
        </w:rPr>
        <w:t>的要求，编制标准文本并形成征求意见稿。</w:t>
      </w:r>
    </w:p>
    <w:p>
      <w:pPr>
        <w:widowControl/>
        <w:tabs>
          <w:tab w:val="center" w:pos="4201"/>
          <w:tab w:val="right" w:leader="dot" w:pos="9298"/>
        </w:tabs>
        <w:autoSpaceDE w:val="0"/>
        <w:autoSpaceDN w:val="0"/>
        <w:spacing w:line="360" w:lineRule="auto"/>
        <w:ind w:firstLine="480" w:firstLineChars="200"/>
        <w:rPr>
          <w:rFonts w:ascii="宋体" w:hAnsi="宋体" w:eastAsia="宋体" w:cs="Arial"/>
          <w:sz w:val="24"/>
          <w:szCs w:val="24"/>
          <w:shd w:val="clear" w:color="auto" w:fill="FFFFFF"/>
        </w:rPr>
      </w:pPr>
      <w:r>
        <w:rPr>
          <w:rFonts w:hint="eastAsia" w:ascii="宋体" w:hAnsi="宋体" w:eastAsia="宋体" w:cs="Times New Roman"/>
          <w:kern w:val="0"/>
          <w:sz w:val="24"/>
          <w:szCs w:val="24"/>
        </w:rPr>
        <w:t>本部分起草单位：海信集团控股股份有限公司、山东大学、天津大学、美的集团</w:t>
      </w:r>
      <w:r>
        <w:rPr>
          <w:rFonts w:ascii="宋体" w:hAnsi="宋体" w:eastAsia="宋体" w:cs="Times New Roman"/>
          <w:kern w:val="0"/>
          <w:sz w:val="24"/>
          <w:szCs w:val="24"/>
        </w:rPr>
        <w:t>(上海)有限公司、北京邮电大学、</w:t>
      </w:r>
      <w:r>
        <w:rPr>
          <w:rFonts w:ascii="宋体" w:hAnsi="宋体" w:eastAsia="宋体" w:cs="Times New Roman"/>
          <w:kern w:val="0"/>
          <w:sz w:val="24"/>
          <w:szCs w:val="24"/>
        </w:rPr>
        <w:tab/>
      </w:r>
      <w:r>
        <w:rPr>
          <w:rFonts w:ascii="宋体" w:hAnsi="宋体" w:eastAsia="宋体" w:cs="Times New Roman"/>
          <w:kern w:val="0"/>
          <w:sz w:val="24"/>
          <w:szCs w:val="24"/>
        </w:rPr>
        <w:t>北京云天励飞科技有限公司、上海数字电视国家工程研究中心有限公司、天翼数字生活科技有限公司、上海商汤智能科技有限公司、蚂蚁金服(杭州)网络技术有限公司、上海燧原科技有限公司、杭州海康威视数字技术股份有限公司、中国移动通信集团有限公司、西安电子科技大学、北京世纪好未来教育科技有限公司</w:t>
      </w:r>
      <w:bookmarkStart w:id="0" w:name="_Hlk22000352"/>
      <w:r>
        <w:rPr>
          <w:rFonts w:hint="eastAsia" w:ascii="宋体" w:hAnsi="宋体" w:eastAsia="宋体"/>
          <w:sz w:val="24"/>
          <w:szCs w:val="24"/>
        </w:rPr>
        <w:t>。</w:t>
      </w:r>
    </w:p>
    <w:p>
      <w:pPr>
        <w:widowControl/>
        <w:tabs>
          <w:tab w:val="center" w:pos="4201"/>
          <w:tab w:val="right" w:leader="dot" w:pos="9298"/>
        </w:tabs>
        <w:autoSpaceDE w:val="0"/>
        <w:autoSpaceDN w:val="0"/>
        <w:spacing w:line="360" w:lineRule="auto"/>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本文件主要起草人：</w:t>
      </w:r>
      <w:r>
        <w:rPr>
          <w:rFonts w:hint="eastAsia" w:ascii="宋体" w:hAnsi="宋体" w:eastAsia="宋体"/>
          <w:sz w:val="24"/>
          <w:szCs w:val="24"/>
        </w:rPr>
        <w:t>陈维强、刘微、方静、刘琚、李克秋、姚昌松、陆月明、饶雪、殷惠清、吕冠中、徐浩、孙曦、王思善、钟凯伦、秦日臻、朱辉、王婷、何晨迪、孙萁浩、刘常昱、曹旭、刘秀龙、高雪松、蔡亚森、左金鑫、代翔、贾立鼎、张鸿伟、孟令邦、马豪、马立原、高雅、曹若菡、杨睿毅、赵奕捷、邹名伊、张维、程学军、周素雨、李玉楷。</w:t>
      </w:r>
    </w:p>
    <w:bookmarkEnd w:id="0"/>
    <w:p>
      <w:pPr>
        <w:keepNext/>
        <w:keepLines/>
        <w:spacing w:before="340" w:after="330" w:line="576" w:lineRule="auto"/>
        <w:outlineLvl w:val="0"/>
        <w:rPr>
          <w:rFonts w:ascii="黑体" w:hAnsi="黑体" w:eastAsia="黑体" w:cs="Times New Roman"/>
          <w:bCs/>
          <w:kern w:val="44"/>
          <w:sz w:val="28"/>
          <w:szCs w:val="44"/>
        </w:rPr>
      </w:pPr>
      <w:r>
        <w:rPr>
          <w:rFonts w:ascii="黑体" w:hAnsi="黑体" w:eastAsia="黑体" w:cs="Times New Roman"/>
          <w:bCs/>
          <w:kern w:val="44"/>
          <w:sz w:val="28"/>
          <w:szCs w:val="44"/>
        </w:rPr>
        <w:t>3</w:t>
      </w:r>
      <w:r>
        <w:rPr>
          <w:rFonts w:hint="eastAsia" w:ascii="黑体" w:hAnsi="黑体" w:eastAsia="黑体" w:cs="Times New Roman"/>
          <w:bCs/>
          <w:kern w:val="44"/>
          <w:sz w:val="28"/>
          <w:szCs w:val="44"/>
        </w:rPr>
        <w:t>、标准编制原则和确定标准主要内容的论据，若标准中涉及专利，则应列出相关专利的目录及其使用理由。</w:t>
      </w:r>
    </w:p>
    <w:p>
      <w:pPr>
        <w:keepNext/>
        <w:keepLines/>
        <w:spacing w:before="260" w:after="260" w:line="415" w:lineRule="auto"/>
        <w:outlineLvl w:val="1"/>
        <w:rPr>
          <w:rFonts w:ascii="黑体" w:hAnsi="黑体" w:eastAsia="黑体" w:cs="宋体"/>
          <w:bCs/>
          <w:sz w:val="24"/>
          <w:szCs w:val="24"/>
        </w:rPr>
      </w:pPr>
      <w:r>
        <w:rPr>
          <w:rFonts w:ascii="黑体" w:hAnsi="黑体" w:eastAsia="黑体" w:cs="宋体"/>
          <w:bCs/>
          <w:sz w:val="24"/>
          <w:szCs w:val="24"/>
        </w:rPr>
        <w:t>3.1</w:t>
      </w:r>
      <w:r>
        <w:rPr>
          <w:rFonts w:hint="eastAsia" w:ascii="黑体" w:hAnsi="黑体" w:eastAsia="黑体" w:cs="宋体"/>
          <w:bCs/>
          <w:sz w:val="24"/>
          <w:szCs w:val="24"/>
        </w:rPr>
        <w:t>编制原则与确定主要内容的依据</w:t>
      </w:r>
    </w:p>
    <w:p>
      <w:pPr>
        <w:keepNext/>
        <w:keepLines/>
        <w:spacing w:before="260" w:after="260" w:line="415" w:lineRule="auto"/>
        <w:outlineLvl w:val="1"/>
        <w:rPr>
          <w:rFonts w:ascii="黑体" w:hAnsi="黑体" w:eastAsia="黑体" w:cs="宋体"/>
          <w:bCs/>
          <w:sz w:val="24"/>
          <w:szCs w:val="24"/>
        </w:rPr>
      </w:pPr>
      <w:r>
        <w:rPr>
          <w:rFonts w:hint="eastAsia" w:ascii="黑体" w:hAnsi="黑体" w:eastAsia="黑体" w:cs="宋体"/>
          <w:bCs/>
          <w:sz w:val="24"/>
          <w:szCs w:val="24"/>
        </w:rPr>
        <w:t>3</w:t>
      </w:r>
      <w:r>
        <w:rPr>
          <w:rFonts w:ascii="黑体" w:hAnsi="黑体" w:eastAsia="黑体" w:cs="宋体"/>
          <w:bCs/>
          <w:sz w:val="24"/>
          <w:szCs w:val="24"/>
        </w:rPr>
        <w:t xml:space="preserve">.1.1 </w:t>
      </w:r>
      <w:r>
        <w:rPr>
          <w:rFonts w:hint="eastAsia" w:ascii="黑体" w:hAnsi="黑体" w:eastAsia="黑体" w:cs="宋体"/>
          <w:bCs/>
          <w:sz w:val="24"/>
          <w:szCs w:val="24"/>
        </w:rPr>
        <w:t>编制原则</w:t>
      </w:r>
    </w:p>
    <w:p>
      <w:pPr>
        <w:widowControl/>
        <w:tabs>
          <w:tab w:val="center" w:pos="4201"/>
          <w:tab w:val="right" w:leader="dot" w:pos="9298"/>
        </w:tabs>
        <w:autoSpaceDE w:val="0"/>
        <w:autoSpaceDN w:val="0"/>
        <w:spacing w:line="360" w:lineRule="auto"/>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《基于区块链的视频系统可信赖规范》标准的编制原则如下：</w:t>
      </w:r>
    </w:p>
    <w:p>
      <w:pPr>
        <w:widowControl/>
        <w:tabs>
          <w:tab w:val="center" w:pos="4201"/>
          <w:tab w:val="right" w:leader="dot" w:pos="9298"/>
        </w:tabs>
        <w:autoSpaceDE w:val="0"/>
        <w:autoSpaceDN w:val="0"/>
        <w:spacing w:line="360" w:lineRule="auto"/>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w:t>
      </w:r>
      <w:r>
        <w:rPr>
          <w:rFonts w:ascii="宋体" w:hAnsi="宋体" w:eastAsia="宋体" w:cs="Times New Roman"/>
          <w:kern w:val="0"/>
          <w:sz w:val="24"/>
          <w:szCs w:val="24"/>
        </w:rPr>
        <w:t>1）科学性原则：本文件依托现有产业应用要点，充分结合编制组内部产学研用各单位优势，充分利用科研成果、典型产品、产业需求调研结果，保障标准指标的科学合理。</w:t>
      </w:r>
    </w:p>
    <w:p>
      <w:pPr>
        <w:widowControl/>
        <w:tabs>
          <w:tab w:val="center" w:pos="4201"/>
          <w:tab w:val="right" w:leader="dot" w:pos="9298"/>
        </w:tabs>
        <w:autoSpaceDE w:val="0"/>
        <w:autoSpaceDN w:val="0"/>
        <w:spacing w:line="360" w:lineRule="auto"/>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w:t>
      </w:r>
      <w:r>
        <w:rPr>
          <w:rFonts w:ascii="宋体" w:hAnsi="宋体" w:eastAsia="宋体" w:cs="Times New Roman"/>
          <w:kern w:val="0"/>
          <w:sz w:val="24"/>
          <w:szCs w:val="24"/>
        </w:rPr>
        <w:t>2）全面性原则：本</w:t>
      </w:r>
      <w:r>
        <w:rPr>
          <w:rFonts w:hint="eastAsia" w:ascii="宋体" w:hAnsi="宋体" w:eastAsia="宋体" w:cs="Times New Roman"/>
          <w:kern w:val="0"/>
          <w:sz w:val="24"/>
          <w:szCs w:val="24"/>
        </w:rPr>
        <w:t>文件</w:t>
      </w:r>
      <w:r>
        <w:rPr>
          <w:rFonts w:ascii="宋体" w:hAnsi="宋体" w:eastAsia="宋体" w:cs="Times New Roman"/>
          <w:kern w:val="0"/>
          <w:sz w:val="24"/>
          <w:szCs w:val="24"/>
        </w:rPr>
        <w:t>中在编制中充分考虑了到标准的全面性，保证能够覆盖多种</w:t>
      </w:r>
      <w:r>
        <w:rPr>
          <w:rFonts w:hint="eastAsia" w:ascii="宋体" w:hAnsi="宋体" w:eastAsia="宋体" w:cs="Times New Roman"/>
          <w:kern w:val="0"/>
          <w:sz w:val="24"/>
          <w:szCs w:val="24"/>
        </w:rPr>
        <w:t>类型的视频系统</w:t>
      </w:r>
      <w:r>
        <w:rPr>
          <w:rFonts w:ascii="宋体" w:hAnsi="宋体" w:eastAsia="宋体" w:cs="Times New Roman"/>
          <w:kern w:val="0"/>
          <w:sz w:val="24"/>
          <w:szCs w:val="24"/>
        </w:rPr>
        <w:t>，以及多种应用场景需求，确保标准的完备性。</w:t>
      </w:r>
    </w:p>
    <w:p>
      <w:pPr>
        <w:widowControl/>
        <w:tabs>
          <w:tab w:val="center" w:pos="4201"/>
          <w:tab w:val="right" w:leader="dot" w:pos="9298"/>
        </w:tabs>
        <w:autoSpaceDE w:val="0"/>
        <w:autoSpaceDN w:val="0"/>
        <w:spacing w:line="360" w:lineRule="auto"/>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w:t>
      </w:r>
      <w:r>
        <w:rPr>
          <w:rFonts w:ascii="宋体" w:hAnsi="宋体" w:eastAsia="宋体" w:cs="Times New Roman"/>
          <w:kern w:val="0"/>
          <w:sz w:val="24"/>
          <w:szCs w:val="24"/>
        </w:rPr>
        <w:t>3）实用性原则：本</w:t>
      </w:r>
      <w:r>
        <w:rPr>
          <w:rFonts w:hint="eastAsia" w:ascii="宋体" w:hAnsi="宋体" w:eastAsia="宋体" w:cs="Times New Roman"/>
          <w:kern w:val="0"/>
          <w:sz w:val="24"/>
          <w:szCs w:val="24"/>
        </w:rPr>
        <w:t>文件</w:t>
      </w:r>
      <w:r>
        <w:rPr>
          <w:rFonts w:ascii="宋体" w:hAnsi="宋体" w:eastAsia="宋体" w:cs="Times New Roman"/>
          <w:kern w:val="0"/>
          <w:sz w:val="24"/>
          <w:szCs w:val="24"/>
        </w:rPr>
        <w:t>充分考虑了</w:t>
      </w:r>
      <w:r>
        <w:rPr>
          <w:rFonts w:hint="eastAsia" w:ascii="宋体" w:hAnsi="宋体" w:eastAsia="宋体" w:cs="Times New Roman"/>
          <w:kern w:val="0"/>
          <w:sz w:val="24"/>
          <w:szCs w:val="24"/>
        </w:rPr>
        <w:t>人工智能、区块链和视频系统技术发展</w:t>
      </w:r>
      <w:r>
        <w:rPr>
          <w:rFonts w:ascii="宋体" w:hAnsi="宋体" w:eastAsia="宋体" w:cs="Times New Roman"/>
          <w:kern w:val="0"/>
          <w:sz w:val="24"/>
          <w:szCs w:val="24"/>
        </w:rPr>
        <w:t>现状和实际需求，并坚持吸收现有的先进技术</w:t>
      </w:r>
      <w:r>
        <w:rPr>
          <w:rFonts w:hint="eastAsia" w:ascii="宋体" w:hAnsi="宋体" w:eastAsia="宋体" w:cs="Times New Roman"/>
          <w:kern w:val="0"/>
          <w:sz w:val="24"/>
          <w:szCs w:val="24"/>
        </w:rPr>
        <w:t>（如跨链管理）</w:t>
      </w:r>
      <w:r>
        <w:rPr>
          <w:rFonts w:ascii="宋体" w:hAnsi="宋体" w:eastAsia="宋体" w:cs="Times New Roman"/>
          <w:kern w:val="0"/>
          <w:sz w:val="24"/>
          <w:szCs w:val="24"/>
        </w:rPr>
        <w:t>和正在进行</w:t>
      </w:r>
      <w:r>
        <w:rPr>
          <w:rFonts w:hint="eastAsia" w:ascii="宋体" w:hAnsi="宋体" w:eastAsia="宋体" w:cs="Times New Roman"/>
          <w:kern w:val="0"/>
          <w:sz w:val="24"/>
          <w:szCs w:val="24"/>
        </w:rPr>
        <w:t>相关研究的</w:t>
      </w:r>
      <w:r>
        <w:rPr>
          <w:rFonts w:ascii="宋体" w:hAnsi="宋体" w:eastAsia="宋体" w:cs="Times New Roman"/>
          <w:kern w:val="0"/>
          <w:sz w:val="24"/>
          <w:szCs w:val="24"/>
        </w:rPr>
        <w:t>的企业、高校、科研院所等的先进经验，参考行业上下游产业设备的典型技术参数，保证各项技术指标的合理性和实用性。本</w:t>
      </w:r>
      <w:r>
        <w:rPr>
          <w:rFonts w:hint="eastAsia" w:ascii="宋体" w:hAnsi="宋体" w:eastAsia="宋体" w:cs="Times New Roman"/>
          <w:kern w:val="0"/>
          <w:sz w:val="24"/>
          <w:szCs w:val="24"/>
        </w:rPr>
        <w:t>文件</w:t>
      </w:r>
      <w:r>
        <w:rPr>
          <w:rFonts w:ascii="宋体" w:hAnsi="宋体" w:eastAsia="宋体" w:cs="Times New Roman"/>
          <w:kern w:val="0"/>
          <w:sz w:val="24"/>
          <w:szCs w:val="24"/>
        </w:rPr>
        <w:t>规定的技术要求清晰、易操作、可试验，</w:t>
      </w:r>
      <w:r>
        <w:rPr>
          <w:rFonts w:hint="eastAsia" w:ascii="宋体" w:hAnsi="宋体" w:eastAsia="宋体" w:cs="Times New Roman"/>
          <w:kern w:val="0"/>
          <w:sz w:val="24"/>
          <w:szCs w:val="24"/>
        </w:rPr>
        <w:t>可以指导各应用场景的视频系统实践及相关单位开展相关工作。</w:t>
      </w:r>
    </w:p>
    <w:p>
      <w:pPr>
        <w:keepNext/>
        <w:keepLines/>
        <w:spacing w:before="260" w:after="260" w:line="415" w:lineRule="auto"/>
        <w:outlineLvl w:val="1"/>
        <w:rPr>
          <w:rFonts w:ascii="宋体" w:hAnsi="宋体" w:eastAsia="宋体" w:cs="Times New Roman"/>
          <w:kern w:val="0"/>
          <w:sz w:val="24"/>
          <w:szCs w:val="24"/>
        </w:rPr>
      </w:pPr>
      <w:r>
        <w:rPr>
          <w:rFonts w:hint="eastAsia" w:ascii="黑体" w:hAnsi="黑体" w:eastAsia="黑体" w:cs="宋体"/>
          <w:bCs/>
          <w:sz w:val="24"/>
          <w:szCs w:val="24"/>
        </w:rPr>
        <w:t>3</w:t>
      </w:r>
      <w:r>
        <w:rPr>
          <w:rFonts w:ascii="黑体" w:hAnsi="黑体" w:eastAsia="黑体" w:cs="宋体"/>
          <w:bCs/>
          <w:sz w:val="24"/>
          <w:szCs w:val="24"/>
        </w:rPr>
        <w:t xml:space="preserve">.1.2 </w:t>
      </w:r>
      <w:r>
        <w:rPr>
          <w:rFonts w:hint="eastAsia" w:ascii="黑体" w:hAnsi="黑体" w:eastAsia="黑体" w:cs="宋体"/>
          <w:bCs/>
          <w:sz w:val="24"/>
          <w:szCs w:val="24"/>
        </w:rPr>
        <w:t>确定主要内容的依据</w:t>
      </w:r>
    </w:p>
    <w:p>
      <w:pPr>
        <w:widowControl/>
        <w:tabs>
          <w:tab w:val="center" w:pos="4201"/>
          <w:tab w:val="right" w:leader="dot" w:pos="9298"/>
        </w:tabs>
        <w:autoSpaceDE w:val="0"/>
        <w:autoSpaceDN w:val="0"/>
        <w:spacing w:line="360" w:lineRule="auto"/>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随着人工智能技术的发展，大量新兴的人工智能技术应运而生。而在边缘网络场景下，由于计算、通信等资源的限制，难以支持大规模的机器学习，从而限制了边缘网络中高可靠、低时延类型应用的发展。通过引入区块链技术，将分布式的计算资源进行整合，建立一种安全可靠的协作机制，从而实现边缘智能。一方面，区块链为人工智能算法提供了可靠的参与方认证以及数据安全管理机制，可以有效的保证参与方的数据安全及隐私保护。另一方面，人工智能可以提升区块链运行的效率。通过对要存入区块链的数据进行进一步处理，可以提升区块链有限存储空间的利用效率。人工智能需要的数据往往被中心化平台垄断，严重阻碍人工智能的创新和发展。区块链可以给人工智能提供可靠、可信的数据市场，人工智能可以监管区块链的运营是否合规，运行智能合约的形式验证，发现恶意操作等。人工智能和区块链的共生能够极大地扩展这个生态系统，创造无限的可能性。</w:t>
      </w:r>
    </w:p>
    <w:p>
      <w:pPr>
        <w:widowControl/>
        <w:tabs>
          <w:tab w:val="center" w:pos="4201"/>
          <w:tab w:val="right" w:leader="dot" w:pos="9298"/>
        </w:tabs>
        <w:autoSpaceDE w:val="0"/>
        <w:autoSpaceDN w:val="0"/>
        <w:spacing w:line="360" w:lineRule="auto"/>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基于区块链的视频系统可信赖规范》是对可信赖视频系统做出了适合的建议和科学操作指导。本文件提炼出基于人工智能技术的数据处理共性技术要求，结合区块链数据难以篡改、去中心化两大特点，帮助解决各方之间互不信任的问题，有效的打破原有的数据孤岛。同时，以跨链技术为基础，构建兼容多区块链、多系统的跨链机制，实现安全、高效的数据传输和交互，数据处理流程的可追溯与可审计，为视频系统在交通、医疗、教育、政务、娱乐等领域的应用提供了可信赖保障，为视频系统的可信赖、可追溯性提供统一的标准及行业性建议。</w:t>
      </w:r>
    </w:p>
    <w:p>
      <w:pPr>
        <w:keepNext/>
        <w:keepLines/>
        <w:spacing w:before="260" w:after="260" w:line="415" w:lineRule="auto"/>
        <w:outlineLvl w:val="1"/>
        <w:rPr>
          <w:rFonts w:ascii="黑体" w:hAnsi="黑体" w:eastAsia="黑体" w:cs="宋体"/>
          <w:bCs/>
          <w:sz w:val="24"/>
          <w:szCs w:val="24"/>
        </w:rPr>
      </w:pPr>
      <w:r>
        <w:rPr>
          <w:rFonts w:ascii="黑体" w:hAnsi="黑体" w:eastAsia="黑体" w:cs="宋体"/>
          <w:bCs/>
          <w:sz w:val="24"/>
          <w:szCs w:val="24"/>
        </w:rPr>
        <w:t xml:space="preserve">3.2 </w:t>
      </w:r>
      <w:r>
        <w:rPr>
          <w:rFonts w:hint="eastAsia" w:ascii="黑体" w:hAnsi="黑体" w:eastAsia="黑体" w:cs="宋体"/>
          <w:bCs/>
          <w:sz w:val="24"/>
          <w:szCs w:val="24"/>
        </w:rPr>
        <w:t>处理专利技术的基本策略</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本文件不涉及专利问题。</w:t>
      </w:r>
    </w:p>
    <w:p>
      <w:pPr>
        <w:keepNext/>
        <w:keepLines/>
        <w:spacing w:before="340" w:after="330" w:line="576" w:lineRule="auto"/>
        <w:outlineLvl w:val="0"/>
        <w:rPr>
          <w:rFonts w:ascii="黑体" w:hAnsi="黑体" w:eastAsia="黑体" w:cs="Times New Roman"/>
          <w:kern w:val="44"/>
          <w:sz w:val="28"/>
          <w:szCs w:val="44"/>
        </w:rPr>
      </w:pPr>
      <w:r>
        <w:rPr>
          <w:rFonts w:ascii="黑体" w:hAnsi="黑体" w:eastAsia="黑体" w:cs="Times New Roman"/>
          <w:kern w:val="44"/>
          <w:sz w:val="28"/>
          <w:szCs w:val="44"/>
        </w:rPr>
        <w:t>4</w:t>
      </w:r>
      <w:r>
        <w:rPr>
          <w:rFonts w:hint="eastAsia" w:ascii="黑体" w:hAnsi="黑体" w:eastAsia="黑体" w:cs="Times New Roman"/>
          <w:kern w:val="44"/>
          <w:sz w:val="28"/>
          <w:szCs w:val="44"/>
        </w:rPr>
        <w:t>、主要试验或验证的分析、综述报告，技术经济论证，预期的经济效果</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文件中所涉及的功能及可信赖要求已在具有音视频功能的系统终端上进行验证测试。通过验证，结合系统实际特性，同时兼顾系统功能及可信赖技术要求，给出音视频系统基于区块链的数据采集、传输、存储、发放、播放，算法管理、媒资管理、内容审核、内容分类、数据脱敏、音频识别、视频识别等功能，整个系统通过区块链进行统一账户管理，并对系统中数据全生命周期的流转信息进行上链存证，同时通过跨链管理，支持多个区块链之间的信息传递、查询、溯源等功能，既能确保音视频数据在系统间安全分享和有效应用，又可确保数据隐私受到保护，使用过程透明、可追溯。</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同时文件研制也结合行业调研的方式同步开展，对推荐技术指标调研其行业典型应用值，并结合测试结果给出最终推荐建议值。如分辨率指标≥</w:t>
      </w:r>
      <w:r>
        <w:rPr>
          <w:rFonts w:ascii="宋体" w:hAnsi="宋体" w:eastAsia="宋体" w:cs="Times New Roman"/>
          <w:sz w:val="24"/>
          <w:szCs w:val="24"/>
        </w:rPr>
        <w:t>720p</w:t>
      </w:r>
      <w:r>
        <w:rPr>
          <w:rFonts w:hint="eastAsia" w:ascii="宋体" w:hAnsi="宋体" w:eastAsia="宋体" w:cs="Times New Roman"/>
          <w:sz w:val="24"/>
          <w:szCs w:val="24"/>
        </w:rPr>
        <w:t>，即是参考国内行业内旧的监控摄像头</w:t>
      </w:r>
      <w:r>
        <w:rPr>
          <w:rFonts w:ascii="宋体" w:hAnsi="宋体" w:eastAsia="宋体" w:cs="Times New Roman"/>
          <w:sz w:val="24"/>
          <w:szCs w:val="24"/>
        </w:rPr>
        <w:t>720p</w:t>
      </w:r>
      <w:r>
        <w:rPr>
          <w:rFonts w:hint="eastAsia" w:ascii="宋体" w:hAnsi="宋体" w:eastAsia="宋体" w:cs="Times New Roman"/>
          <w:sz w:val="24"/>
          <w:szCs w:val="24"/>
        </w:rPr>
        <w:t>的要求；时延≤</w:t>
      </w:r>
      <w:r>
        <w:rPr>
          <w:rFonts w:ascii="宋体" w:hAnsi="宋体" w:eastAsia="宋体" w:cs="Times New Roman"/>
          <w:sz w:val="24"/>
          <w:szCs w:val="24"/>
        </w:rPr>
        <w:t>500</w:t>
      </w:r>
      <w:r>
        <w:rPr>
          <w:rFonts w:hint="eastAsia" w:ascii="宋体" w:hAnsi="宋体" w:eastAsia="宋体" w:cs="Times New Roman"/>
          <w:sz w:val="24"/>
          <w:szCs w:val="24"/>
        </w:rPr>
        <w:t>毫秒即是参考视频经过</w:t>
      </w:r>
      <w:r>
        <w:rPr>
          <w:rFonts w:ascii="宋体" w:hAnsi="宋体" w:eastAsia="宋体" w:cs="Times New Roman"/>
          <w:sz w:val="24"/>
          <w:szCs w:val="24"/>
        </w:rPr>
        <w:t>CDN</w:t>
      </w:r>
      <w:r>
        <w:rPr>
          <w:rFonts w:hint="eastAsia" w:ascii="宋体" w:hAnsi="宋体" w:eastAsia="宋体" w:cs="Times New Roman"/>
          <w:sz w:val="24"/>
          <w:szCs w:val="24"/>
        </w:rPr>
        <w:t>分发的</w:t>
      </w:r>
      <w:r>
        <w:rPr>
          <w:rFonts w:ascii="宋体" w:hAnsi="宋体" w:eastAsia="宋体" w:cs="Times New Roman"/>
          <w:sz w:val="24"/>
          <w:szCs w:val="24"/>
        </w:rPr>
        <w:t>IPTV</w:t>
      </w:r>
      <w:r>
        <w:rPr>
          <w:rFonts w:hint="eastAsia" w:ascii="宋体" w:hAnsi="宋体" w:eastAsia="宋体" w:cs="Times New Roman"/>
          <w:sz w:val="24"/>
          <w:szCs w:val="24"/>
        </w:rPr>
        <w:t>内容最低要求。可引导相关厂家的技术落地、实施，促进行业进步、技术发展，推动基于区块链的视频系统产业上下游的发展。</w:t>
      </w:r>
    </w:p>
    <w:p>
      <w:pPr>
        <w:keepNext/>
        <w:keepLines/>
        <w:spacing w:before="340" w:after="330" w:line="576" w:lineRule="auto"/>
        <w:outlineLvl w:val="0"/>
        <w:rPr>
          <w:rFonts w:ascii="黑体" w:hAnsi="黑体" w:eastAsia="黑体" w:cs="Times New Roman"/>
          <w:kern w:val="44"/>
          <w:sz w:val="28"/>
          <w:szCs w:val="44"/>
        </w:rPr>
      </w:pPr>
      <w:r>
        <w:rPr>
          <w:rFonts w:ascii="黑体" w:hAnsi="黑体" w:eastAsia="黑体" w:cs="Times New Roman"/>
          <w:kern w:val="44"/>
          <w:sz w:val="28"/>
          <w:szCs w:val="44"/>
        </w:rPr>
        <w:t>5</w:t>
      </w:r>
      <w:r>
        <w:rPr>
          <w:rFonts w:hint="eastAsia" w:ascii="黑体" w:hAnsi="黑体" w:eastAsia="黑体" w:cs="Times New Roman"/>
          <w:kern w:val="44"/>
          <w:sz w:val="28"/>
          <w:szCs w:val="44"/>
        </w:rPr>
        <w:t>、采用国际标准或国外先进标准的目的、意义和一致性程度，我国标准与被采用标准的主要差异及其原因；以及与国际、国外同类标准水平的对比情况</w:t>
      </w:r>
    </w:p>
    <w:p>
      <w:pPr>
        <w:widowControl/>
        <w:tabs>
          <w:tab w:val="center" w:pos="4201"/>
          <w:tab w:val="right" w:leader="dot" w:pos="9298"/>
        </w:tabs>
        <w:autoSpaceDE w:val="0"/>
        <w:autoSpaceDN w:val="0"/>
        <w:spacing w:line="360" w:lineRule="auto"/>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经查询，目前国内外无基于区块链的视频系统可信赖相关的标准规范。目前存在区块链、可信赖相关标准具体如下：</w:t>
      </w:r>
    </w:p>
    <w:p>
      <w:pPr>
        <w:widowControl/>
        <w:tabs>
          <w:tab w:val="center" w:pos="4201"/>
          <w:tab w:val="right" w:leader="dot" w:pos="9298"/>
        </w:tabs>
        <w:autoSpaceDE w:val="0"/>
        <w:autoSpaceDN w:val="0"/>
        <w:spacing w:line="360" w:lineRule="auto"/>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（1）区块链：区块链的行业、团体标准主要集中在金融、电子商务、食品、企业管理以及基础技术类。本文件明确基于区块链技术的视频系统的技术要求。</w:t>
      </w:r>
      <w:r>
        <w:rPr>
          <w:rFonts w:hint="eastAsia" w:ascii="宋体" w:hAnsi="宋体" w:eastAsia="宋体" w:cs="Times New Roman"/>
          <w:sz w:val="24"/>
          <w:szCs w:val="24"/>
        </w:rPr>
        <w:t>在制定过程中，本文件主要参考了</w:t>
      </w:r>
      <w:r>
        <w:rPr>
          <w:rFonts w:hint="eastAsia" w:ascii="宋体" w:hAnsi="宋体" w:eastAsia="宋体" w:cs="Times New Roman"/>
          <w:kern w:val="0"/>
          <w:sz w:val="24"/>
          <w:szCs w:val="24"/>
        </w:rPr>
        <w:t>GB/T 43572-2023在区块链和分布式记账的技术术语。</w:t>
      </w:r>
    </w:p>
    <w:p>
      <w:pPr>
        <w:widowControl/>
        <w:tabs>
          <w:tab w:val="center" w:pos="4201"/>
          <w:tab w:val="right" w:leader="dot" w:pos="9298"/>
        </w:tabs>
        <w:autoSpaceDE w:val="0"/>
        <w:autoSpaceDN w:val="0"/>
        <w:spacing w:line="360" w:lineRule="auto"/>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（2）可信赖：在制定过程中，本文件基于</w:t>
      </w:r>
      <w:r>
        <w:rPr>
          <w:rFonts w:ascii="宋体" w:hAnsi="宋体" w:eastAsia="宋体" w:cs="Times New Roman"/>
          <w:kern w:val="0"/>
          <w:sz w:val="24"/>
          <w:szCs w:val="24"/>
        </w:rPr>
        <w:t>T/CESA 1304-2023</w:t>
      </w:r>
      <w:r>
        <w:rPr>
          <w:rFonts w:hint="eastAsia" w:ascii="宋体" w:hAnsi="宋体" w:eastAsia="宋体" w:cs="Times New Roman"/>
          <w:kern w:val="0"/>
          <w:sz w:val="24"/>
          <w:szCs w:val="24"/>
        </w:rPr>
        <w:t>中提出的可信赖技术要求，进一步明确了在视频系统中，人工智能技术与区块链技术融合的可信赖技术要求。</w:t>
      </w:r>
    </w:p>
    <w:p>
      <w:pPr>
        <w:keepNext/>
        <w:keepLines/>
        <w:spacing w:before="340" w:after="330" w:line="576" w:lineRule="auto"/>
        <w:outlineLvl w:val="0"/>
        <w:rPr>
          <w:rFonts w:ascii="黑体" w:hAnsi="黑体" w:eastAsia="黑体" w:cs="Times New Roman"/>
          <w:kern w:val="44"/>
          <w:sz w:val="28"/>
          <w:szCs w:val="44"/>
        </w:rPr>
      </w:pPr>
      <w:r>
        <w:rPr>
          <w:rFonts w:ascii="黑体" w:hAnsi="黑体" w:eastAsia="黑体" w:cs="Times New Roman"/>
          <w:kern w:val="44"/>
          <w:sz w:val="28"/>
          <w:szCs w:val="44"/>
        </w:rPr>
        <w:t>6</w:t>
      </w:r>
      <w:r>
        <w:rPr>
          <w:rFonts w:hint="eastAsia" w:ascii="黑体" w:hAnsi="黑体" w:eastAsia="黑体" w:cs="Times New Roman"/>
          <w:kern w:val="44"/>
          <w:sz w:val="28"/>
          <w:szCs w:val="44"/>
        </w:rPr>
        <w:t>、与我国有关的现行法律、法规和相关强制性标准的关系。</w:t>
      </w:r>
    </w:p>
    <w:p>
      <w:pPr>
        <w:spacing w:line="360" w:lineRule="auto"/>
        <w:ind w:firstLine="480" w:firstLineChars="200"/>
        <w:rPr>
          <w:rFonts w:ascii="宋体" w:hAnsi="宋体" w:eastAsia="宋体" w:cs="Times New Roman"/>
          <w:kern w:val="0"/>
          <w:sz w:val="24"/>
          <w:szCs w:val="24"/>
        </w:rPr>
      </w:pPr>
      <w:r>
        <w:rPr>
          <w:rFonts w:hint="eastAsia" w:ascii="宋体" w:hAnsi="宋体" w:eastAsia="宋体" w:cs="Times New Roman"/>
          <w:sz w:val="24"/>
          <w:szCs w:val="24"/>
        </w:rPr>
        <w:t>符合现有法律法规和强制性标准。参考并引用了</w:t>
      </w:r>
      <w:r>
        <w:rPr>
          <w:rFonts w:hint="eastAsia" w:ascii="宋体" w:hAnsi="宋体" w:eastAsia="宋体" w:cs="Times New Roman"/>
          <w:kern w:val="0"/>
          <w:sz w:val="24"/>
          <w:szCs w:val="24"/>
        </w:rPr>
        <w:t>GB/T 43572-2023中的术语定义和</w:t>
      </w:r>
      <w:r>
        <w:rPr>
          <w:rFonts w:ascii="宋体" w:hAnsi="宋体" w:eastAsia="宋体" w:cs="Times New Roman"/>
          <w:kern w:val="0"/>
          <w:sz w:val="24"/>
          <w:szCs w:val="24"/>
        </w:rPr>
        <w:t>T/CESA 1304-2023</w:t>
      </w:r>
      <w:r>
        <w:rPr>
          <w:rFonts w:hint="eastAsia" w:ascii="宋体" w:hAnsi="宋体" w:eastAsia="宋体" w:cs="Times New Roman"/>
          <w:kern w:val="0"/>
          <w:sz w:val="24"/>
          <w:szCs w:val="24"/>
        </w:rPr>
        <w:t>中的可信赖要求。</w:t>
      </w:r>
    </w:p>
    <w:p>
      <w:pPr>
        <w:spacing w:line="360" w:lineRule="auto"/>
        <w:ind w:firstLine="480" w:firstLineChars="200"/>
        <w:rPr>
          <w:rFonts w:ascii="宋体" w:hAnsi="宋体" w:eastAsia="宋体" w:cs="Times New Roman"/>
          <w:kern w:val="0"/>
          <w:sz w:val="24"/>
          <w:szCs w:val="24"/>
        </w:rPr>
      </w:pPr>
    </w:p>
    <w:p>
      <w:pPr>
        <w:pStyle w:val="3"/>
        <w:ind w:left="420" w:hanging="420"/>
        <w:rPr>
          <w:rFonts w:ascii="黑体" w:hAnsi="黑体" w:eastAsia="黑体" w:cs="Times New Roman"/>
          <w:b w:val="0"/>
          <w:bCs w:val="0"/>
          <w:kern w:val="44"/>
          <w:sz w:val="28"/>
          <w:szCs w:val="44"/>
        </w:rPr>
      </w:pPr>
      <w:r>
        <w:rPr>
          <w:rFonts w:ascii="黑体" w:hAnsi="黑体" w:eastAsia="黑体" w:cs="Times New Roman"/>
          <w:b w:val="0"/>
          <w:bCs w:val="0"/>
          <w:kern w:val="44"/>
          <w:sz w:val="28"/>
          <w:szCs w:val="44"/>
        </w:rPr>
        <w:t>7</w:t>
      </w:r>
      <w:r>
        <w:rPr>
          <w:rFonts w:hint="eastAsia" w:ascii="黑体" w:hAnsi="黑体" w:eastAsia="黑体" w:cs="Times New Roman"/>
          <w:b w:val="0"/>
          <w:bCs w:val="0"/>
          <w:kern w:val="44"/>
          <w:sz w:val="28"/>
          <w:szCs w:val="44"/>
        </w:rPr>
        <w:t>、重大分歧意见的处理经过和依据</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无。</w:t>
      </w:r>
    </w:p>
    <w:p>
      <w:pPr>
        <w:pStyle w:val="3"/>
        <w:ind w:left="420" w:hanging="420"/>
        <w:rPr>
          <w:rFonts w:ascii="黑体" w:hAnsi="黑体" w:eastAsia="黑体" w:cs="Times New Roman"/>
          <w:b w:val="0"/>
          <w:bCs w:val="0"/>
          <w:kern w:val="44"/>
          <w:sz w:val="28"/>
          <w:szCs w:val="44"/>
        </w:rPr>
      </w:pPr>
      <w:r>
        <w:rPr>
          <w:rFonts w:ascii="黑体" w:hAnsi="黑体" w:eastAsia="黑体" w:cs="Times New Roman"/>
          <w:b w:val="0"/>
          <w:bCs w:val="0"/>
          <w:kern w:val="44"/>
          <w:sz w:val="28"/>
          <w:szCs w:val="44"/>
        </w:rPr>
        <w:t>8</w:t>
      </w:r>
      <w:r>
        <w:rPr>
          <w:rFonts w:hint="eastAsia" w:ascii="黑体" w:hAnsi="黑体" w:eastAsia="黑体" w:cs="Times New Roman"/>
          <w:b w:val="0"/>
          <w:bCs w:val="0"/>
          <w:kern w:val="44"/>
          <w:sz w:val="28"/>
          <w:szCs w:val="44"/>
        </w:rPr>
        <w:t>、标准性质的建议</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建议本标准为推荐性标准。</w:t>
      </w:r>
    </w:p>
    <w:p>
      <w:pPr>
        <w:pStyle w:val="3"/>
        <w:ind w:left="420" w:hanging="420"/>
        <w:rPr>
          <w:rFonts w:ascii="黑体" w:hAnsi="黑体" w:eastAsia="黑体" w:cs="Times New Roman"/>
          <w:b w:val="0"/>
          <w:bCs w:val="0"/>
          <w:kern w:val="44"/>
          <w:sz w:val="28"/>
          <w:szCs w:val="44"/>
        </w:rPr>
      </w:pPr>
      <w:r>
        <w:rPr>
          <w:rFonts w:ascii="黑体" w:hAnsi="黑体" w:eastAsia="黑体" w:cs="Times New Roman"/>
          <w:b w:val="0"/>
          <w:bCs w:val="0"/>
          <w:kern w:val="44"/>
          <w:sz w:val="28"/>
          <w:szCs w:val="44"/>
        </w:rPr>
        <w:t>9</w:t>
      </w:r>
      <w:r>
        <w:rPr>
          <w:rFonts w:hint="eastAsia" w:ascii="黑体" w:hAnsi="黑体" w:eastAsia="黑体" w:cs="Times New Roman"/>
          <w:b w:val="0"/>
          <w:bCs w:val="0"/>
          <w:kern w:val="44"/>
          <w:sz w:val="28"/>
          <w:szCs w:val="44"/>
        </w:rPr>
        <w:t>、贯彻标准的要求和措施建议</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建议按照专家意见修改送审稿尽快完成编制以及标准的最终发布，可以更好引导产业发展，规范市场，正确引导消费者。</w:t>
      </w:r>
    </w:p>
    <w:p>
      <w:pPr>
        <w:pStyle w:val="3"/>
        <w:ind w:left="420" w:hanging="420"/>
        <w:rPr>
          <w:rFonts w:ascii="黑体" w:hAnsi="黑体" w:eastAsia="黑体" w:cs="Times New Roman"/>
          <w:b w:val="0"/>
          <w:bCs w:val="0"/>
          <w:kern w:val="44"/>
          <w:sz w:val="28"/>
          <w:szCs w:val="44"/>
        </w:rPr>
      </w:pPr>
      <w:bookmarkStart w:id="1" w:name="_Toc79059689"/>
      <w:r>
        <w:rPr>
          <w:rFonts w:ascii="黑体" w:hAnsi="黑体" w:eastAsia="黑体" w:cs="Times New Roman"/>
          <w:b w:val="0"/>
          <w:bCs w:val="0"/>
          <w:kern w:val="44"/>
          <w:sz w:val="28"/>
          <w:szCs w:val="44"/>
        </w:rPr>
        <w:t>10</w:t>
      </w:r>
      <w:r>
        <w:rPr>
          <w:rFonts w:hint="eastAsia" w:ascii="黑体" w:hAnsi="黑体" w:eastAsia="黑体" w:cs="Times New Roman"/>
          <w:b w:val="0"/>
          <w:bCs w:val="0"/>
          <w:kern w:val="44"/>
          <w:sz w:val="28"/>
          <w:szCs w:val="44"/>
        </w:rPr>
        <w:t>、替代或废止现行相关标准的建议</w:t>
      </w:r>
      <w:bookmarkEnd w:id="1"/>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无。</w:t>
      </w:r>
    </w:p>
    <w:p>
      <w:pPr>
        <w:pStyle w:val="3"/>
        <w:ind w:left="420" w:hanging="420"/>
        <w:rPr>
          <w:rFonts w:ascii="黑体" w:hAnsi="黑体" w:eastAsia="黑体" w:cs="Times New Roman"/>
          <w:b w:val="0"/>
          <w:bCs w:val="0"/>
          <w:kern w:val="44"/>
          <w:sz w:val="28"/>
          <w:szCs w:val="44"/>
        </w:rPr>
      </w:pPr>
      <w:bookmarkStart w:id="2" w:name="_Toc79059690"/>
      <w:r>
        <w:rPr>
          <w:rFonts w:ascii="黑体" w:hAnsi="黑体" w:eastAsia="黑体" w:cs="Times New Roman"/>
          <w:b w:val="0"/>
          <w:bCs w:val="0"/>
          <w:kern w:val="44"/>
          <w:sz w:val="28"/>
          <w:szCs w:val="44"/>
        </w:rPr>
        <w:t>11</w:t>
      </w:r>
      <w:r>
        <w:rPr>
          <w:rFonts w:hint="eastAsia" w:ascii="黑体" w:hAnsi="黑体" w:eastAsia="黑体" w:cs="Times New Roman"/>
          <w:b w:val="0"/>
          <w:bCs w:val="0"/>
          <w:kern w:val="44"/>
          <w:sz w:val="28"/>
          <w:szCs w:val="44"/>
        </w:rPr>
        <w:t>、其它应予说明的事项</w:t>
      </w:r>
      <w:bookmarkEnd w:id="2"/>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无。</w:t>
      </w:r>
    </w:p>
    <w:p>
      <w:pPr>
        <w:wordWrap w:val="0"/>
        <w:jc w:val="right"/>
        <w:rPr>
          <w:rFonts w:ascii="宋体" w:hAnsi="宋体" w:eastAsia="宋体"/>
          <w:bCs/>
          <w:sz w:val="28"/>
          <w:szCs w:val="28"/>
        </w:rPr>
      </w:pPr>
      <w:r>
        <w:rPr>
          <w:rFonts w:hint="eastAsia" w:ascii="宋体" w:hAnsi="宋体" w:eastAsia="宋体"/>
          <w:bCs/>
          <w:sz w:val="28"/>
          <w:szCs w:val="28"/>
        </w:rPr>
        <w:t>《基于区块链的视频系统可信赖规范》编制工作组</w:t>
      </w:r>
    </w:p>
    <w:p>
      <w:pPr>
        <w:spacing w:line="360" w:lineRule="auto"/>
        <w:ind w:firstLine="560" w:firstLineChars="200"/>
        <w:jc w:val="right"/>
        <w:rPr>
          <w:rFonts w:ascii="宋体" w:hAnsi="宋体" w:eastAsia="宋体" w:cs="Times New Roman"/>
          <w:kern w:val="0"/>
          <w:sz w:val="28"/>
          <w:szCs w:val="28"/>
        </w:rPr>
      </w:pPr>
      <w:r>
        <w:rPr>
          <w:rFonts w:hint="eastAsia" w:ascii="宋体" w:hAnsi="宋体" w:eastAsia="宋体"/>
          <w:bCs/>
          <w:sz w:val="28"/>
          <w:szCs w:val="28"/>
        </w:rPr>
        <w:t>2024年6月24日</w:t>
      </w:r>
    </w:p>
    <w:sectPr>
      <w:footerReference r:id="rId3" w:type="default"/>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51768424"/>
    </w:sdtPr>
    <w:sdtContent>
      <w:sdt>
        <w:sdtPr>
          <w:id w:val="-1437748230"/>
        </w:sdtPr>
        <w:sdtContent>
          <w:p>
            <w:pPr>
              <w:pStyle w:val="6"/>
              <w:jc w:val="right"/>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6</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6</w:t>
            </w:r>
            <w:r>
              <w:rPr>
                <w:b/>
                <w:bCs/>
                <w:sz w:val="24"/>
                <w:szCs w:val="24"/>
              </w:rPr>
              <w:fldChar w:fldCharType="end"/>
            </w:r>
          </w:p>
        </w:sdtContent>
      </w:sdt>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964357"/>
    <w:multiLevelType w:val="multilevel"/>
    <w:tmpl w:val="2C964357"/>
    <w:lvl w:ilvl="0" w:tentative="0">
      <w:start w:val="1"/>
      <w:numFmt w:val="decimal"/>
      <w:lvlText w:val="%1)"/>
      <w:lvlJc w:val="left"/>
      <w:pPr>
        <w:ind w:left="840" w:hanging="360"/>
      </w:pPr>
      <w:rPr>
        <w:rFonts w:cs="Times New Roman"/>
      </w:rPr>
    </w:lvl>
    <w:lvl w:ilvl="1" w:tentative="0">
      <w:start w:val="1"/>
      <w:numFmt w:val="lowerLetter"/>
      <w:lvlText w:val="%2)"/>
      <w:lvlJc w:val="left"/>
      <w:pPr>
        <w:ind w:left="1320" w:hanging="420"/>
      </w:pPr>
      <w:rPr>
        <w:rFonts w:cs="Times New Roman"/>
      </w:rPr>
    </w:lvl>
    <w:lvl w:ilvl="2" w:tentative="0">
      <w:start w:val="1"/>
      <w:numFmt w:val="lowerRoman"/>
      <w:lvlText w:val="%3."/>
      <w:lvlJc w:val="right"/>
      <w:pPr>
        <w:ind w:left="1740" w:hanging="420"/>
      </w:pPr>
      <w:rPr>
        <w:rFonts w:cs="Times New Roman"/>
      </w:rPr>
    </w:lvl>
    <w:lvl w:ilvl="3" w:tentative="0">
      <w:start w:val="1"/>
      <w:numFmt w:val="decimal"/>
      <w:lvlText w:val="%4."/>
      <w:lvlJc w:val="left"/>
      <w:pPr>
        <w:ind w:left="2160" w:hanging="420"/>
      </w:pPr>
      <w:rPr>
        <w:rFonts w:cs="Times New Roman"/>
      </w:rPr>
    </w:lvl>
    <w:lvl w:ilvl="4" w:tentative="0">
      <w:start w:val="1"/>
      <w:numFmt w:val="lowerLetter"/>
      <w:lvlText w:val="%5)"/>
      <w:lvlJc w:val="left"/>
      <w:pPr>
        <w:ind w:left="2580" w:hanging="420"/>
      </w:pPr>
      <w:rPr>
        <w:rFonts w:cs="Times New Roman"/>
      </w:rPr>
    </w:lvl>
    <w:lvl w:ilvl="5" w:tentative="0">
      <w:start w:val="1"/>
      <w:numFmt w:val="lowerRoman"/>
      <w:lvlText w:val="%6."/>
      <w:lvlJc w:val="right"/>
      <w:pPr>
        <w:ind w:left="3000" w:hanging="420"/>
      </w:pPr>
      <w:rPr>
        <w:rFonts w:cs="Times New Roman"/>
      </w:rPr>
    </w:lvl>
    <w:lvl w:ilvl="6" w:tentative="0">
      <w:start w:val="1"/>
      <w:numFmt w:val="decimal"/>
      <w:lvlText w:val="%7."/>
      <w:lvlJc w:val="left"/>
      <w:pPr>
        <w:ind w:left="3420" w:hanging="420"/>
      </w:pPr>
      <w:rPr>
        <w:rFonts w:cs="Times New Roman"/>
      </w:rPr>
    </w:lvl>
    <w:lvl w:ilvl="7" w:tentative="0">
      <w:start w:val="1"/>
      <w:numFmt w:val="lowerLetter"/>
      <w:lvlText w:val="%8)"/>
      <w:lvlJc w:val="left"/>
      <w:pPr>
        <w:ind w:left="3840" w:hanging="420"/>
      </w:pPr>
      <w:rPr>
        <w:rFonts w:cs="Times New Roman"/>
      </w:rPr>
    </w:lvl>
    <w:lvl w:ilvl="8" w:tentative="0">
      <w:start w:val="1"/>
      <w:numFmt w:val="lowerRoman"/>
      <w:lvlText w:val="%9."/>
      <w:lvlJc w:val="right"/>
      <w:pPr>
        <w:ind w:left="4260" w:hanging="42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00A55D27"/>
    <w:rsid w:val="00001492"/>
    <w:rsid w:val="00006FBE"/>
    <w:rsid w:val="00025B2B"/>
    <w:rsid w:val="00025EDB"/>
    <w:rsid w:val="000269C1"/>
    <w:rsid w:val="00044412"/>
    <w:rsid w:val="00055868"/>
    <w:rsid w:val="00081E80"/>
    <w:rsid w:val="00083A7B"/>
    <w:rsid w:val="000A2944"/>
    <w:rsid w:val="000A516E"/>
    <w:rsid w:val="000B5945"/>
    <w:rsid w:val="000C55E7"/>
    <w:rsid w:val="000C63CD"/>
    <w:rsid w:val="000D2C07"/>
    <w:rsid w:val="000E1E65"/>
    <w:rsid w:val="000E22BF"/>
    <w:rsid w:val="000F2EBC"/>
    <w:rsid w:val="000F7B13"/>
    <w:rsid w:val="0010223A"/>
    <w:rsid w:val="0010465F"/>
    <w:rsid w:val="00107BC1"/>
    <w:rsid w:val="00120F8B"/>
    <w:rsid w:val="001259AF"/>
    <w:rsid w:val="00130085"/>
    <w:rsid w:val="00133E2D"/>
    <w:rsid w:val="001346B2"/>
    <w:rsid w:val="001501D6"/>
    <w:rsid w:val="001508FE"/>
    <w:rsid w:val="00152206"/>
    <w:rsid w:val="00152574"/>
    <w:rsid w:val="001543F8"/>
    <w:rsid w:val="00163FFC"/>
    <w:rsid w:val="0017776A"/>
    <w:rsid w:val="00190834"/>
    <w:rsid w:val="001970F9"/>
    <w:rsid w:val="001A05B6"/>
    <w:rsid w:val="001A2FC5"/>
    <w:rsid w:val="001A6A6D"/>
    <w:rsid w:val="001B3E4B"/>
    <w:rsid w:val="001D2285"/>
    <w:rsid w:val="001D6F70"/>
    <w:rsid w:val="001E283C"/>
    <w:rsid w:val="001E65B2"/>
    <w:rsid w:val="001E6D5E"/>
    <w:rsid w:val="001F1E87"/>
    <w:rsid w:val="00203E28"/>
    <w:rsid w:val="00213B86"/>
    <w:rsid w:val="0021565E"/>
    <w:rsid w:val="00220A4D"/>
    <w:rsid w:val="00227E6A"/>
    <w:rsid w:val="00233B4C"/>
    <w:rsid w:val="00244D8E"/>
    <w:rsid w:val="00263686"/>
    <w:rsid w:val="00266F07"/>
    <w:rsid w:val="00267513"/>
    <w:rsid w:val="00271563"/>
    <w:rsid w:val="00283B7E"/>
    <w:rsid w:val="00285535"/>
    <w:rsid w:val="0028644A"/>
    <w:rsid w:val="00290FDB"/>
    <w:rsid w:val="00292AED"/>
    <w:rsid w:val="00293C29"/>
    <w:rsid w:val="002C3441"/>
    <w:rsid w:val="002C5270"/>
    <w:rsid w:val="002D42FD"/>
    <w:rsid w:val="002D558B"/>
    <w:rsid w:val="002E454E"/>
    <w:rsid w:val="002F10E5"/>
    <w:rsid w:val="002F17B4"/>
    <w:rsid w:val="002F5BDB"/>
    <w:rsid w:val="00307ECE"/>
    <w:rsid w:val="003159EF"/>
    <w:rsid w:val="003163B6"/>
    <w:rsid w:val="00316730"/>
    <w:rsid w:val="00320A1A"/>
    <w:rsid w:val="00327901"/>
    <w:rsid w:val="00330F09"/>
    <w:rsid w:val="00334254"/>
    <w:rsid w:val="00335330"/>
    <w:rsid w:val="00342301"/>
    <w:rsid w:val="0036646B"/>
    <w:rsid w:val="0036761F"/>
    <w:rsid w:val="003717BF"/>
    <w:rsid w:val="00373BEE"/>
    <w:rsid w:val="0037409C"/>
    <w:rsid w:val="00375679"/>
    <w:rsid w:val="003841F6"/>
    <w:rsid w:val="00392D6A"/>
    <w:rsid w:val="003931B0"/>
    <w:rsid w:val="00397E10"/>
    <w:rsid w:val="003A0657"/>
    <w:rsid w:val="003A107F"/>
    <w:rsid w:val="003A1694"/>
    <w:rsid w:val="003A3B05"/>
    <w:rsid w:val="003A3CC0"/>
    <w:rsid w:val="003B20A2"/>
    <w:rsid w:val="003B360F"/>
    <w:rsid w:val="003D2328"/>
    <w:rsid w:val="003D42F0"/>
    <w:rsid w:val="003E073F"/>
    <w:rsid w:val="003E4703"/>
    <w:rsid w:val="003F5EE6"/>
    <w:rsid w:val="00421DE2"/>
    <w:rsid w:val="00431945"/>
    <w:rsid w:val="00436735"/>
    <w:rsid w:val="00437E52"/>
    <w:rsid w:val="00443775"/>
    <w:rsid w:val="00445A83"/>
    <w:rsid w:val="00455274"/>
    <w:rsid w:val="00472FE7"/>
    <w:rsid w:val="0048272D"/>
    <w:rsid w:val="004930EE"/>
    <w:rsid w:val="004B14BA"/>
    <w:rsid w:val="004C35D8"/>
    <w:rsid w:val="004D01CC"/>
    <w:rsid w:val="004D1BC1"/>
    <w:rsid w:val="004D578E"/>
    <w:rsid w:val="004E1DB5"/>
    <w:rsid w:val="004E6867"/>
    <w:rsid w:val="004E6F28"/>
    <w:rsid w:val="004F62A3"/>
    <w:rsid w:val="005032C8"/>
    <w:rsid w:val="00506FA5"/>
    <w:rsid w:val="00516DE7"/>
    <w:rsid w:val="00543BD6"/>
    <w:rsid w:val="00550F9F"/>
    <w:rsid w:val="00553519"/>
    <w:rsid w:val="00560AF2"/>
    <w:rsid w:val="005650C1"/>
    <w:rsid w:val="0058516B"/>
    <w:rsid w:val="00590533"/>
    <w:rsid w:val="0059220A"/>
    <w:rsid w:val="005A438B"/>
    <w:rsid w:val="005B29CA"/>
    <w:rsid w:val="005B365D"/>
    <w:rsid w:val="005C1EAC"/>
    <w:rsid w:val="005D0A8F"/>
    <w:rsid w:val="005E0C2D"/>
    <w:rsid w:val="005E1639"/>
    <w:rsid w:val="005E282D"/>
    <w:rsid w:val="006051C8"/>
    <w:rsid w:val="00607742"/>
    <w:rsid w:val="006135C2"/>
    <w:rsid w:val="00614523"/>
    <w:rsid w:val="00617E5E"/>
    <w:rsid w:val="00621EA8"/>
    <w:rsid w:val="00632126"/>
    <w:rsid w:val="006343A3"/>
    <w:rsid w:val="00636B72"/>
    <w:rsid w:val="00651DA3"/>
    <w:rsid w:val="00652890"/>
    <w:rsid w:val="00656643"/>
    <w:rsid w:val="00657CDC"/>
    <w:rsid w:val="00665BC2"/>
    <w:rsid w:val="006746EB"/>
    <w:rsid w:val="00690B47"/>
    <w:rsid w:val="006967CD"/>
    <w:rsid w:val="006A0EDB"/>
    <w:rsid w:val="006A5DC8"/>
    <w:rsid w:val="006A6D2C"/>
    <w:rsid w:val="006B234A"/>
    <w:rsid w:val="006C658E"/>
    <w:rsid w:val="006D0421"/>
    <w:rsid w:val="006D0AEF"/>
    <w:rsid w:val="006D1768"/>
    <w:rsid w:val="006D3107"/>
    <w:rsid w:val="006F606B"/>
    <w:rsid w:val="00703565"/>
    <w:rsid w:val="007148C4"/>
    <w:rsid w:val="0071634D"/>
    <w:rsid w:val="007244D5"/>
    <w:rsid w:val="00730321"/>
    <w:rsid w:val="007322F0"/>
    <w:rsid w:val="0073357A"/>
    <w:rsid w:val="007369B0"/>
    <w:rsid w:val="0074324C"/>
    <w:rsid w:val="0075024E"/>
    <w:rsid w:val="007508A5"/>
    <w:rsid w:val="007536EF"/>
    <w:rsid w:val="00755104"/>
    <w:rsid w:val="00755E58"/>
    <w:rsid w:val="00760D19"/>
    <w:rsid w:val="007714DB"/>
    <w:rsid w:val="00791A0A"/>
    <w:rsid w:val="007935CC"/>
    <w:rsid w:val="007A793B"/>
    <w:rsid w:val="007B49D8"/>
    <w:rsid w:val="007C0EE5"/>
    <w:rsid w:val="007C23D6"/>
    <w:rsid w:val="007D4C36"/>
    <w:rsid w:val="007D7C07"/>
    <w:rsid w:val="007D7D2E"/>
    <w:rsid w:val="007D7D81"/>
    <w:rsid w:val="007F0A28"/>
    <w:rsid w:val="007F684B"/>
    <w:rsid w:val="00801A1F"/>
    <w:rsid w:val="00822BB9"/>
    <w:rsid w:val="00826441"/>
    <w:rsid w:val="00835A9D"/>
    <w:rsid w:val="00844A8E"/>
    <w:rsid w:val="00855607"/>
    <w:rsid w:val="008566C9"/>
    <w:rsid w:val="008574A8"/>
    <w:rsid w:val="00890D90"/>
    <w:rsid w:val="008B4682"/>
    <w:rsid w:val="008C0E6A"/>
    <w:rsid w:val="008D5257"/>
    <w:rsid w:val="008E48F9"/>
    <w:rsid w:val="008E5075"/>
    <w:rsid w:val="00902F8C"/>
    <w:rsid w:val="00906729"/>
    <w:rsid w:val="00911B2A"/>
    <w:rsid w:val="0091265B"/>
    <w:rsid w:val="00922915"/>
    <w:rsid w:val="009352AC"/>
    <w:rsid w:val="0094056A"/>
    <w:rsid w:val="00941ECF"/>
    <w:rsid w:val="00943BB8"/>
    <w:rsid w:val="009478F3"/>
    <w:rsid w:val="009547E0"/>
    <w:rsid w:val="00963B7F"/>
    <w:rsid w:val="00964FF5"/>
    <w:rsid w:val="009657F9"/>
    <w:rsid w:val="00965DC7"/>
    <w:rsid w:val="009763E3"/>
    <w:rsid w:val="00976F2F"/>
    <w:rsid w:val="009831D7"/>
    <w:rsid w:val="00985A6F"/>
    <w:rsid w:val="009A476C"/>
    <w:rsid w:val="009A58B5"/>
    <w:rsid w:val="009A6B84"/>
    <w:rsid w:val="009B6B5D"/>
    <w:rsid w:val="009C2A0E"/>
    <w:rsid w:val="009C319B"/>
    <w:rsid w:val="009D6E2C"/>
    <w:rsid w:val="009E0948"/>
    <w:rsid w:val="009E4EC7"/>
    <w:rsid w:val="009F5FA6"/>
    <w:rsid w:val="00A03BEA"/>
    <w:rsid w:val="00A04A63"/>
    <w:rsid w:val="00A20CEB"/>
    <w:rsid w:val="00A21C37"/>
    <w:rsid w:val="00A24435"/>
    <w:rsid w:val="00A42B79"/>
    <w:rsid w:val="00A53557"/>
    <w:rsid w:val="00A55D27"/>
    <w:rsid w:val="00A63717"/>
    <w:rsid w:val="00A63E00"/>
    <w:rsid w:val="00A66B4A"/>
    <w:rsid w:val="00A7243B"/>
    <w:rsid w:val="00A82D28"/>
    <w:rsid w:val="00A93E3C"/>
    <w:rsid w:val="00AB0FBD"/>
    <w:rsid w:val="00AB4257"/>
    <w:rsid w:val="00AB4974"/>
    <w:rsid w:val="00AD1B08"/>
    <w:rsid w:val="00AD3CCE"/>
    <w:rsid w:val="00AD7C48"/>
    <w:rsid w:val="00AE1D5C"/>
    <w:rsid w:val="00AF019A"/>
    <w:rsid w:val="00AF5EFE"/>
    <w:rsid w:val="00B06BD6"/>
    <w:rsid w:val="00B07CC7"/>
    <w:rsid w:val="00B14BDE"/>
    <w:rsid w:val="00B160DB"/>
    <w:rsid w:val="00B54B11"/>
    <w:rsid w:val="00B63375"/>
    <w:rsid w:val="00B733E5"/>
    <w:rsid w:val="00B9482F"/>
    <w:rsid w:val="00BB1EED"/>
    <w:rsid w:val="00BB259F"/>
    <w:rsid w:val="00BC0768"/>
    <w:rsid w:val="00BF2141"/>
    <w:rsid w:val="00BF4614"/>
    <w:rsid w:val="00BF7594"/>
    <w:rsid w:val="00C02C88"/>
    <w:rsid w:val="00C076A7"/>
    <w:rsid w:val="00C07F67"/>
    <w:rsid w:val="00C1508B"/>
    <w:rsid w:val="00C2440B"/>
    <w:rsid w:val="00C343A7"/>
    <w:rsid w:val="00C411D9"/>
    <w:rsid w:val="00C51247"/>
    <w:rsid w:val="00C5348F"/>
    <w:rsid w:val="00C8493D"/>
    <w:rsid w:val="00CA22BC"/>
    <w:rsid w:val="00CA53BD"/>
    <w:rsid w:val="00CB104E"/>
    <w:rsid w:val="00CC0C57"/>
    <w:rsid w:val="00CC3722"/>
    <w:rsid w:val="00CD0CC1"/>
    <w:rsid w:val="00CE4FAD"/>
    <w:rsid w:val="00CE70C6"/>
    <w:rsid w:val="00CE7A5B"/>
    <w:rsid w:val="00CF1D5C"/>
    <w:rsid w:val="00D04D00"/>
    <w:rsid w:val="00D05EAD"/>
    <w:rsid w:val="00D07302"/>
    <w:rsid w:val="00D11006"/>
    <w:rsid w:val="00D225BD"/>
    <w:rsid w:val="00D225E1"/>
    <w:rsid w:val="00D237C8"/>
    <w:rsid w:val="00D23918"/>
    <w:rsid w:val="00D26FF1"/>
    <w:rsid w:val="00D36D68"/>
    <w:rsid w:val="00D47C82"/>
    <w:rsid w:val="00D70182"/>
    <w:rsid w:val="00D702BD"/>
    <w:rsid w:val="00D7401D"/>
    <w:rsid w:val="00D760AC"/>
    <w:rsid w:val="00D8602B"/>
    <w:rsid w:val="00D920D0"/>
    <w:rsid w:val="00D92EFD"/>
    <w:rsid w:val="00DA3A9F"/>
    <w:rsid w:val="00DA771A"/>
    <w:rsid w:val="00DB43A4"/>
    <w:rsid w:val="00DC0556"/>
    <w:rsid w:val="00DC5BB7"/>
    <w:rsid w:val="00DD7230"/>
    <w:rsid w:val="00DD72A4"/>
    <w:rsid w:val="00DE45A2"/>
    <w:rsid w:val="00DF2C86"/>
    <w:rsid w:val="00E12101"/>
    <w:rsid w:val="00E15FCD"/>
    <w:rsid w:val="00E2244A"/>
    <w:rsid w:val="00E26E29"/>
    <w:rsid w:val="00E27447"/>
    <w:rsid w:val="00E30392"/>
    <w:rsid w:val="00E5455D"/>
    <w:rsid w:val="00E56D96"/>
    <w:rsid w:val="00E63555"/>
    <w:rsid w:val="00E72F2D"/>
    <w:rsid w:val="00E816AE"/>
    <w:rsid w:val="00E8382B"/>
    <w:rsid w:val="00E864CC"/>
    <w:rsid w:val="00E957B1"/>
    <w:rsid w:val="00EA1EC1"/>
    <w:rsid w:val="00EA4E9E"/>
    <w:rsid w:val="00EA5201"/>
    <w:rsid w:val="00EB352F"/>
    <w:rsid w:val="00ED5090"/>
    <w:rsid w:val="00EE01D3"/>
    <w:rsid w:val="00EF31FA"/>
    <w:rsid w:val="00EF34CF"/>
    <w:rsid w:val="00F225A2"/>
    <w:rsid w:val="00F31C3B"/>
    <w:rsid w:val="00F41ED4"/>
    <w:rsid w:val="00F53E96"/>
    <w:rsid w:val="00F54E4B"/>
    <w:rsid w:val="00F73463"/>
    <w:rsid w:val="00F77583"/>
    <w:rsid w:val="00F820B5"/>
    <w:rsid w:val="00FB1AE0"/>
    <w:rsid w:val="00FC1D87"/>
    <w:rsid w:val="00FC469E"/>
    <w:rsid w:val="00FD015B"/>
    <w:rsid w:val="00FE57AC"/>
    <w:rsid w:val="00FE6C81"/>
    <w:rsid w:val="00FF5F27"/>
    <w:rsid w:val="00FF6DE7"/>
    <w:rsid w:val="00FF7217"/>
    <w:rsid w:val="10262C63"/>
    <w:rsid w:val="20AB190E"/>
    <w:rsid w:val="21965F0F"/>
    <w:rsid w:val="2E5F4FE4"/>
    <w:rsid w:val="59353C91"/>
    <w:rsid w:val="63BF0EC9"/>
    <w:rsid w:val="6A9273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
    <w:pPr>
      <w:keepNext/>
      <w:keepLines/>
      <w:spacing w:before="340" w:after="330" w:line="576" w:lineRule="auto"/>
      <w:outlineLvl w:val="0"/>
    </w:pPr>
    <w:rPr>
      <w:rFonts w:ascii="Times New Roman" w:hAnsi="Times New Roman" w:eastAsia="宋体" w:cs="Times New Roman"/>
      <w:b/>
      <w:bCs/>
      <w:kern w:val="44"/>
      <w:sz w:val="44"/>
      <w:szCs w:val="44"/>
    </w:rPr>
  </w:style>
  <w:style w:type="paragraph" w:styleId="3">
    <w:name w:val="heading 2"/>
    <w:basedOn w:val="1"/>
    <w:next w:val="1"/>
    <w:link w:val="13"/>
    <w:autoRedefine/>
    <w:semiHidden/>
    <w:unhideWhenUsed/>
    <w:qFormat/>
    <w:uiPriority w:val="9"/>
    <w:pPr>
      <w:keepNext/>
      <w:keepLines/>
      <w:spacing w:before="260" w:after="260" w:line="415" w:lineRule="auto"/>
      <w:outlineLvl w:val="1"/>
    </w:pPr>
    <w:rPr>
      <w:rFonts w:ascii="Cambria" w:hAnsi="Cambria" w:eastAsia="宋体" w:cs="宋体"/>
      <w:b/>
      <w:bCs/>
      <w:sz w:val="32"/>
      <w:szCs w:val="32"/>
    </w:rPr>
  </w:style>
  <w:style w:type="character" w:default="1" w:styleId="10">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4"/>
    <w:autoRedefine/>
    <w:semiHidden/>
    <w:unhideWhenUsed/>
    <w:qFormat/>
    <w:uiPriority w:val="99"/>
    <w:pPr>
      <w:jc w:val="left"/>
    </w:pPr>
    <w:rPr>
      <w:rFonts w:ascii="Times New Roman" w:hAnsi="Times New Roman" w:cs="Times New Roman"/>
      <w:szCs w:val="24"/>
    </w:rPr>
  </w:style>
  <w:style w:type="paragraph" w:styleId="5">
    <w:name w:val="Balloon Text"/>
    <w:basedOn w:val="1"/>
    <w:link w:val="18"/>
    <w:autoRedefine/>
    <w:semiHidden/>
    <w:unhideWhenUsed/>
    <w:qFormat/>
    <w:uiPriority w:val="99"/>
    <w:rPr>
      <w:sz w:val="18"/>
      <w:szCs w:val="18"/>
    </w:rPr>
  </w:style>
  <w:style w:type="paragraph" w:styleId="6">
    <w:name w:val="footer"/>
    <w:basedOn w:val="1"/>
    <w:link w:val="22"/>
    <w:autoRedefine/>
    <w:unhideWhenUsed/>
    <w:qFormat/>
    <w:uiPriority w:val="99"/>
    <w:pPr>
      <w:tabs>
        <w:tab w:val="center" w:pos="4153"/>
        <w:tab w:val="right" w:pos="8306"/>
      </w:tabs>
      <w:snapToGrid w:val="0"/>
      <w:jc w:val="left"/>
    </w:pPr>
    <w:rPr>
      <w:sz w:val="18"/>
      <w:szCs w:val="18"/>
    </w:rPr>
  </w:style>
  <w:style w:type="paragraph" w:styleId="7">
    <w:name w:val="header"/>
    <w:basedOn w:val="1"/>
    <w:link w:val="2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4"/>
    <w:next w:val="4"/>
    <w:link w:val="19"/>
    <w:autoRedefine/>
    <w:semiHidden/>
    <w:unhideWhenUsed/>
    <w:qFormat/>
    <w:uiPriority w:val="99"/>
    <w:rPr>
      <w:rFonts w:asciiTheme="minorHAnsi" w:hAnsiTheme="minorHAnsi" w:cstheme="minorBidi"/>
      <w:b/>
      <w:bCs/>
      <w:szCs w:val="22"/>
    </w:rPr>
  </w:style>
  <w:style w:type="character" w:styleId="11">
    <w:name w:val="annotation reference"/>
    <w:basedOn w:val="10"/>
    <w:autoRedefine/>
    <w:semiHidden/>
    <w:unhideWhenUsed/>
    <w:qFormat/>
    <w:uiPriority w:val="99"/>
    <w:rPr>
      <w:sz w:val="21"/>
    </w:rPr>
  </w:style>
  <w:style w:type="character" w:customStyle="1" w:styleId="12">
    <w:name w:val="标题 1 字符"/>
    <w:basedOn w:val="10"/>
    <w:link w:val="2"/>
    <w:autoRedefine/>
    <w:qFormat/>
    <w:uiPriority w:val="9"/>
    <w:rPr>
      <w:rFonts w:ascii="Times New Roman" w:hAnsi="Times New Roman" w:eastAsia="宋体" w:cs="Times New Roman"/>
      <w:b/>
      <w:bCs/>
      <w:kern w:val="44"/>
      <w:sz w:val="44"/>
      <w:szCs w:val="44"/>
    </w:rPr>
  </w:style>
  <w:style w:type="character" w:customStyle="1" w:styleId="13">
    <w:name w:val="标题 2 字符"/>
    <w:basedOn w:val="10"/>
    <w:link w:val="3"/>
    <w:autoRedefine/>
    <w:semiHidden/>
    <w:qFormat/>
    <w:uiPriority w:val="9"/>
    <w:rPr>
      <w:rFonts w:ascii="Cambria" w:hAnsi="Cambria" w:eastAsia="宋体" w:cs="宋体"/>
      <w:b/>
      <w:bCs/>
      <w:sz w:val="32"/>
      <w:szCs w:val="32"/>
    </w:rPr>
  </w:style>
  <w:style w:type="character" w:customStyle="1" w:styleId="14">
    <w:name w:val="批注文字 字符"/>
    <w:basedOn w:val="10"/>
    <w:link w:val="4"/>
    <w:autoRedefine/>
    <w:semiHidden/>
    <w:qFormat/>
    <w:uiPriority w:val="99"/>
    <w:rPr>
      <w:rFonts w:ascii="Times New Roman" w:hAnsi="Times New Roman" w:cs="Times New Roman"/>
      <w:szCs w:val="24"/>
    </w:rPr>
  </w:style>
  <w:style w:type="character" w:customStyle="1" w:styleId="15">
    <w:name w:val="段 Char"/>
    <w:link w:val="16"/>
    <w:autoRedefine/>
    <w:qFormat/>
    <w:locked/>
    <w:uiPriority w:val="0"/>
    <w:rPr>
      <w:rFonts w:ascii="宋体" w:hAnsi="宋体" w:eastAsia="宋体"/>
    </w:rPr>
  </w:style>
  <w:style w:type="paragraph" w:customStyle="1" w:styleId="16">
    <w:name w:val="段"/>
    <w:link w:val="15"/>
    <w:autoRedefine/>
    <w:qFormat/>
    <w:uiPriority w:val="0"/>
    <w:pPr>
      <w:autoSpaceDE w:val="0"/>
      <w:autoSpaceDN w:val="0"/>
      <w:ind w:firstLine="200" w:firstLineChars="200"/>
      <w:jc w:val="both"/>
    </w:pPr>
    <w:rPr>
      <w:rFonts w:ascii="宋体" w:hAnsi="宋体" w:eastAsia="宋体" w:cstheme="minorBidi"/>
      <w:kern w:val="2"/>
      <w:sz w:val="21"/>
      <w:szCs w:val="22"/>
      <w:lang w:val="en-US" w:eastAsia="zh-CN" w:bidi="ar-SA"/>
    </w:rPr>
  </w:style>
  <w:style w:type="paragraph" w:customStyle="1" w:styleId="17">
    <w:name w:val="封面标准名称"/>
    <w:autoRedefine/>
    <w:qFormat/>
    <w:uiPriority w:val="0"/>
    <w:pPr>
      <w:framePr w:w="9638" w:h="6917" w:wrap="around" w:vAnchor="margin" w:hAnchor="margin" w:xAlign="center" w:y="5955" w:anchorLock="1"/>
      <w:widowControl w:val="0"/>
      <w:spacing w:line="680" w:lineRule="exact"/>
      <w:jc w:val="center"/>
    </w:pPr>
    <w:rPr>
      <w:rFonts w:ascii="黑体" w:hAnsi="Times New Roman" w:eastAsia="黑体" w:cs="Times New Roman"/>
      <w:sz w:val="52"/>
      <w:lang w:val="en-US" w:eastAsia="zh-CN" w:bidi="ar-SA"/>
    </w:rPr>
  </w:style>
  <w:style w:type="character" w:customStyle="1" w:styleId="18">
    <w:name w:val="批注框文本 字符"/>
    <w:basedOn w:val="10"/>
    <w:link w:val="5"/>
    <w:autoRedefine/>
    <w:semiHidden/>
    <w:qFormat/>
    <w:uiPriority w:val="99"/>
    <w:rPr>
      <w:sz w:val="18"/>
      <w:szCs w:val="18"/>
    </w:rPr>
  </w:style>
  <w:style w:type="character" w:customStyle="1" w:styleId="19">
    <w:name w:val="批注主题 字符"/>
    <w:basedOn w:val="14"/>
    <w:link w:val="8"/>
    <w:autoRedefine/>
    <w:semiHidden/>
    <w:qFormat/>
    <w:uiPriority w:val="99"/>
    <w:rPr>
      <w:rFonts w:ascii="Times New Roman" w:hAnsi="Times New Roman" w:cs="Times New Roman"/>
      <w:b/>
      <w:bCs/>
      <w:szCs w:val="24"/>
    </w:rPr>
  </w:style>
  <w:style w:type="paragraph" w:styleId="20">
    <w:name w:val="List Paragraph"/>
    <w:basedOn w:val="1"/>
    <w:autoRedefine/>
    <w:qFormat/>
    <w:uiPriority w:val="34"/>
    <w:pPr>
      <w:ind w:firstLine="420"/>
    </w:pPr>
  </w:style>
  <w:style w:type="character" w:customStyle="1" w:styleId="21">
    <w:name w:val="页眉 字符"/>
    <w:basedOn w:val="10"/>
    <w:link w:val="7"/>
    <w:autoRedefine/>
    <w:qFormat/>
    <w:uiPriority w:val="99"/>
    <w:rPr>
      <w:sz w:val="18"/>
      <w:szCs w:val="18"/>
    </w:rPr>
  </w:style>
  <w:style w:type="character" w:customStyle="1" w:styleId="22">
    <w:name w:val="页脚 字符"/>
    <w:basedOn w:val="10"/>
    <w:link w:val="6"/>
    <w:autoRedefine/>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8C7D1B-6DC6-4AAD-898E-0FE47173F1C4}">
  <ds:schemaRefs/>
</ds:datastoreItem>
</file>

<file path=docProps/app.xml><?xml version="1.0" encoding="utf-8"?>
<Properties xmlns="http://schemas.openxmlformats.org/officeDocument/2006/extended-properties" xmlns:vt="http://schemas.openxmlformats.org/officeDocument/2006/docPropsVTypes">
  <Template>Normal.dotm</Template>
  <Pages>6</Pages>
  <Words>3692</Words>
  <Characters>3851</Characters>
  <Lines>27</Lines>
  <Paragraphs>7</Paragraphs>
  <TotalTime>221</TotalTime>
  <ScaleCrop>false</ScaleCrop>
  <LinksUpToDate>false</LinksUpToDate>
  <CharactersWithSpaces>3860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2024-06-17T09:26:00Z</dcterms:created>
  <dc:creator>方静</dc:creator>
  <cp:lastModifiedBy>竟然有人</cp:lastModifiedBy>
  <cp:lastPrinted>2024-06-11T10:35:00Z</cp:lastPrinted>
  <dcterms:modified xsi:type="dcterms:W3CDTF">2024-06-28T07:13:58Z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FDD2E7AA863E418D84B399206B1B5213_13</vt:lpwstr>
  </property>
</Properties>
</file>